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5809-2018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5809-2018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108-2018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noviembre de 2018, la entidad Penrei Inversiones, S.L., representada por la procuradora de tribunales doña Blanca Berriatua Horta y bajo la dirección de la letrada doña Anju Nirmala Benavent Rodríguez, interpuso recurso de amparo contra los autos dictados por el Juzgado de Primera Instancia e Instrucción núm. 3 de Lorca en el procedimiento de ejecución hipotecaria núm. 108-2018 en fechas 27 de junio y 26 de septiembre de 2018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108-2018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20 de abril de 2018 se acordó despachar ejecución frente a las sociedades demandadas. El citado auto y el decreto de la misma fecha fueron comunicados a las citadas entidades a través de la sede judicial electrónica el día 26 de abril de 2018. El mismo día, el servicio de notificaciones electrónicas de la Fábrica Nacional de Moneda y Timbre remitió a la demandante de amparo, a través de la dirección electrónica habilitada, una notificación del siguiente tenor: “[l]a Notificación estará disponible en su Dirección Electrónica Habilitada única desde el 26 de abril de 2018 hasta el 11 de junio de 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demandante presentó escrito de oposición a la ejecución despachada, en fecha 22 de junio de 2018. Por auto de 27 de junio de 2018 se acordó su inadmisión por presentación extemporánea, al considerarse que había transcurrido el plazo de diez días previsto en el art. 695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26 de abril de 2018, sino el 11 de junio de 2018, y que la comunicación remitida a través de la dirección electrónica habilitada no puede entenderse más que como un aviso de puesta a disposición o descarga de su contenido durante un plazo determinado (en el caso desde el 26 de abril al 11 de junio de 2018). De ahí que, al haber accedido a dicha comunicación el día 11 de junio de 2018, es en ese día cuando debe entenderse efectuada la notificación. Y entenderlo de otro modo, además de infringir los arts. 135, 152, 160, 162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fue desestimado por auto de 26 de septiembre de 2018. Según consta en la indicada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a) de la Ley 39/2015 y 273.3 LEC. Según se afirma en la indicada resolución, “es cierto que la notificación por medios electrónicos efectivamente se realiza cuando el destinatario accede a su contenido. Ahora bien, hierran en el plazo en el que puede acceder a su contenido a efectos de la práctica de la notificación, el cual es de diez días naturales desde el puesta a su disposición y ello por imperativo del artículo 43.2 de la citada Ley LPACAP (ley 39/2015) […] En el presente caso, consta que la notificación se puso a disposición de las recurrentes en fecha 26 de abril de 2018 no accediendo al contenido hasta el 11 de junio de 2018 (fuera de los diez días naturales), presentando los escritos de oposición a la ejecución en fecha 22 de junio de 2018, claramente fuera del plazo legalmente establecido en el art. 556.1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y accedió al contenido de la notificación dentro del plazo establecido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afirma que el órgano judicial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octubre de 2019, la Sección Tercera de este Tribunal acordó admitir a trámite el recurso de amparo y dirigir comunicación al Juzgado de Primera Instancia e Instrucción núm. 3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8 de noviembre de 2019, la parte demandante formuló sus alegaciones, en el cual reitera lo interesado en el otrosí de su demanda, con sustento en el ATC 287/2013, de 16 de diciembre, cuyo contenido parcialmente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el 12 de noviembre del 2019. En síntesis, interesa que se acuerde la anotación preventiva de la demanda en el registro de la propiedad. Tras compendiar la doctrina constitucional relativa a la suspensión prevista en el art. 56 LOTC, sostiene que la solicitud de la medida de suspensión solo alude a la pérdida de finalidad del recurso, para el caso de que llegara a celebrarse la subasta, pero no ofrece ninguna razón que justifique esa pérdida de finalidad a que alude. Además, considera más eficaz la anotación preventiva de la demanda en el registro de la propiedad, medida mediante la cual se daría publicidad a terceros de la pendencia del recurso y se evitaría que un hipotético tercer adquirente del inmueble hipotecado quede especialmente protegido por su buena fe en la adquisición.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108-2018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pues la medida idónea es la anotación preventiva de la demanda en el registro de la propiedad.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el procedimiento se encuentra en la fase inicial una vez rechazada la oposición a la ejecución y que el inmueble sobre el que se sigue tal ejecución está constituido por una vivienda cuya situación posesoria no consta.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 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108-2018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