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febrero de 2019, las entidades Seditex Global, S.L.U., y Seditex Valladolid, S.L., representadas por la procuradora de los tribunales doña Maria Esperanza Azpeitia Calvin, con asistencia letrada de don Carlos González-Cascos Jiménez, interpusieron recurso de amparo contra la providencia del Juzgado de lo Social núm. 3 de León, de 18 de diciembre de 2018, por la que se inadmite la solicitud de nulidad de actuaciones que habían dirigido contra todas las practicadas en el procedimiento núm. 923-2017, sobre impugnación de despido objetivo individual, en el que el emplazamiento inicial y el resto de comunicaciones procesales se realizaron a través de su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 pretensión planteada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el núm. 923-2017, previo acto de conciliación intentado sin avenencia, se tramitó ante el Juzgado de lo Social núm.3 de León, un procedimiento por despido objetivo individual en virtud de la demanda presentada por una trabajadora contra las entidades demandantes de amparo. Una vez admitida a trámite la demanda, las entidades Seditex Global, S.L.U., y Seditex Valladolid, S.L., fueron emplazadas electrónicamente en su dirección electrónica habilitada, sin que comparecieran en el proceso, por lo que éste continuó sin su participación, hasta finalizar mediante sentencia estimatoria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instancias de la trabajadora, y con fundamento en la sentencia estimatoria, se incoaron por el mismo juzgado los procedimientos de ejecución de títulos judiciales núm. 3-2019, sobre declaración de extinción de la relación laboral, y núm. 86-2018 en reclamación a las demandadas del pago de las cantidades reclamadas. En dicho procedimiento, según manifiestan las actoras, se procedió al embargo de la cantidad de 3.645,07 €, y, además, debieron aportar aval bancario por importe de 23.524,66 €, lo que ha determinado que se acuerde la suspensión de la ejecución por decreto de 9 de abril de 2019, según afirman las actoras.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demandantes de amparo manifiestan haber sabido de la existencia del proceso de ejecución, y del previo de despido del que trae causa, al realizar averiguaciones tras conocer el embargo de sus cuentas corrientes como consecuencia de otro procedimiento de despido. Afirman que, después de tener noticia de este hecho, se personaron en la causa seguida ante el Juzgado de lo Social núm. 3 de León mediante escrito de fecha 16 de noviembre de 2018, y promovieron incidente de nulidad de actuaciones en el proceso por despido núm. 923-2017.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solicitud de nulidad planteada en el procedimiento por despido dio lugar a una pieza separada, y fue inadmitida por providencia de 18 de diciembre de 2018, tras entender el juzgador que no se había producido la indefensión denunciada, tanto porque la sentencia estimatoria había sido notificada a las demandadas, como porque la solicitud de nulidad de actuaciones carecía de soporte fáctico al aparecer electrónicamente documentado que sí habían recibido las notificaciones cuyo desconocimiento alegaron. Además, no se estaría en el supuesto del art. 241.1 de la Ley Orgánica del Poder Judicial, porque las promotoras de la nulidad de actuaciones podían haber interpuesto recurso de suplicación contra la sentencia recaída en el procedimiento de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cuya lesión se denuncia en la demanda de amparo es el reconocido en el art. 24.1 CE, concretamente en cuanto establece la interdicción de la indefensión exigiendo un conocimiento efectivo de la existencia del proceso a fin de que, en él, pueda el demandado ejercer una defensa eficaz de sus intereses. En el suplico se solicita la declaración de la vulneración del derecho fundamental alegado, así como la nulidad de la providencia de 18 de diciembre de 2018 recurrida y de todas las actuaciones procesales practicadas en dicho procedimiento antes de su emplazamiento, con retroacción a dicho momento a fin de que conozcan la demanda y puedan intervenir y defenderse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se solicita en la demanda de amparo la suspensión cautelar de “todas las ejecuciones” que, ante dicho juzgado, deriven del citado procedimiento núm. 923-2017.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través de providencia de 30 de septiembre de 2019, la Sección Segunda de este Tribunal acordó admitir a trámite el recurso de amparo y dirigir comunicación al Juzgado de lo Social núm. 3 de León, a fin de que, en el plazo de diez días, remitiera certificación o fotocopia adverada de las actuaciones correspondientes al procedimiento judicial precedente, y emplazara a quienes hubieran sido parte en el mismo, excepto las demandantes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concedió un plazo común de tres días a la parte demandante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8 de octubre de 2019, las demandantes formularon sus alegaciones reiterando su petición de suspensión del proceso de ejecución de títulos judiciales, a lo que se añade la petición de que se ordene cautelarmente a la trabajadora la devolución de las cantidades embargadas en el proceso judicial previo que le fueron entregadas, ofreciendo aval para garantizar su devolución. Fundamenta su pretensión cautelar en la cuantía de dicha cantidad, cuya entrega a la actora en el proceso judicial previo, según dicen, podría ocasionarles un perjuicio irreparable para el caso de ser estimado el recurso de amparo y de que aquella deviniera sobrevenidamente insolvente. Se alegan también las dificultades materiales de gestión económica que el embargo produce sobre el normal funcionamiento de las empresas, afectando a sus trabajadores, así como la pérdida de confianza que el propio embargo puede ocasionar en clientes y proveedores.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14 de octubre de 2019, el ministerio fiscal formuló sus alegaciones. Tras exponer los antecedentes del caso y recordar la doctrina constitucional en materia de suspensión de los efectos del acto o sentencia impugnados a través del correspondiente recurso de amparo, en especial en lo que se refiere a los alegados perjuicios de carácter patrimonial o económico (AATC 81/2012, de 7 de mayo, 9/2018, de 5 de febrero, y 68/2019, de 1 de junio), destaca que el perjuicio alegado es simplemente económico y susceptible de ser reparado en la hipótesis de que la demanda de amparo fuera estimada, y que las demandantes no han justificado documentalmente ni los perjuicios ni su irreparabilidad. En caso de que el Tribunal accediera a la suspensión solicitada, entiende procedente que debe quedar supeditada a la previa prestación de una fianza que permita asegurar los daños y perjuicios que pueda causar la suspensión de la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pretensiones cautelares planteadas por las demandantes de amparo respecto del procedimiento de ejecución de títulos judiciales seguido ante el Juzgado de lo Social núm. 3 de León, a consecuencia de la sentencia dictada en el procedimiento de despido objeto individual núm. 923-2017. Consideran las demandantes que su continuación les causaría un perjuicio económico difícilmente reparable si fuera finalmente llevada a efecto la ejecución, en la que le fue embargada la cantidad de 3.645,07 € y aportaron, además, aval bancario por importe de 23.524,66 €. Cabe destacar desde ahora que, aunque la lesión aducida se habría producido en el proceso de despido, la suspensión que se pretende se refiere al proceso de ejecución de la resolución estimatoria que puso fin a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en la redacción dada por la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Complementaria o subsidiariamente, a tenor de lo establecido en el apartado tercero del mismo precepto, este Tribunal puede adoptar “cualesquiera medidas cautelares y resoluciones provisionales previstas en el ordenamiento, que, por su naturaleza, puedan aplicarse en el proceso de amparo y tiendan a evitar que el recurso pierda su finalidad”, por tanto, no necesariamente las mismas han de tener por objeto el proceso en el que se haya producido la vulneración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hemos entendido por perjuicio irreparable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(por todos,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particular,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sólo si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por ejemplo, en el ATC 81/2012, de 7 de mayo, FJ 2, al que se refiere el ministerio fiscal, se ha otorgado la suspensión en supuestos muy concretos en los que la ejecución de las resoluciones recurridas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este sea irrecuperable (por todos, AATC 565/1986,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(en ese sentido, ATC 9/2018,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al caso aquí planteado de la doctrina reseñada permite concluir, de acuerdo con el ministerio fiscal, que procede denegar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las recurrentes solicitan la suspensión del procedimiento de ejecución de resoluciones judiciales en el que se les reclaman las cantidades fijadas como debidas en el previo proceso de despido. Como hemos anticipado, la vulneración del derecho fundamental aducido se habría producido en aquel proceso previo al que habrían sido convocadas de forma indebida a través de su dirección electrónica habilitada. Tal disociación no impide en sí misma el análisis de la suspensión cautelar pretendida, en cuanto la ejecución dineraria tiene como título la sentencia que puso fin al proceso por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para ser atendida su pretensión, el perjuicio económico alegado ha de ser actual y su irreparabilidad acreditada. Pues bien, en este caso no cabe sostener que el perjuicio aducido sea real, ya que, como han señalado en su escrito de alegaciones las demandantes de amparo, la ejecución ha quedado suspendida tras realizarse el embargo de una cantidad y aportar aquellas un aval bancario, sin que conste que se haya entregado a la trabajadora despedida alguna cantidad. Junto a ello, las dificultades de reparación alegadas ni han sido acreditadas documentalmente ni pueden compartirse, dada su naturaleza meramente económica. Tampoco la cuantía de las cantidades ya embargadas pone de manifiesto en sí misma la irreparabilidad de los perjuicios económicos que le pudiera causar la ejecución reseñada. Las demandantes se refieren a un supuesto hipotético que se daría en el caso de que la trabajadora deviniera insolvente; pero esta circunstancia en modo alguno ha sido tampoco indiciariamente acreditada con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procede acceder a la pretensión cautelar interesada, ni en relación con el embargo dinerario acordado, ni con la continuación del proceso de ejecución, pues, atendidas las circunstancias ya reseñadas, no se acredita la existencia de daños irreversibles o de muy difícil reparación que impidan la efectividad de la restauración del derecho fundamental vulnerado en caso de un eventual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