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27 de enero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3298-2018, promovido por la entidad Champicasa, S.A.T., que actúa representada por el procurador de los tribunales don Ignacio Aguilar Fernández y bajo la dirección del letrado don Rafael Matas Cuéllar, contra el auto del Juzgado de lo Social núm. 1 de Cuenca, de fecha 26 de abril de 2018, por el que se desestima el incidente de nulidad de actuaciones núm. 5-2018 promovido por la demandante en procedimiento de despido objetivo individual núm. 162-2017. Ha comparecido doña Emilia Simarro Oñate, representada por la procuradora de los tribunales doña Isabel Cañedo Vega y asistida del letrado don Francisco Javier Cabero Diéguez. Ha intervenido el Ministerio Fiscal.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11 de junio de 2018, el procurador de los tribunales don Ignacio Aguilar Fernández, en nombre y representación de la entidad Champicasa, S.A.T., y con la asistencia del letrado don Rafael Matas Cuéllar, interpuso demanda de amparo contra la resolución mencionada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carta fechada el 30 de diciembre de 2016, la empresa recurrente comunicó la extinción de su contrato de trabajo a una trabajadora, que la demandó judicialmente por despido por causas objetivas y reclamación de cantidad el 27 de febrero de 2017, dando lugar a la incoación de los autos núm. 162-2017 en el Juzgado de lo Social núm. 1 de Cuenca. Interesaba se declarase la improcedencia del despido y la obligación de la empresa de abonar los salarios de tramitación, por considerar que las causas económicas así como las de organización y producción alegadas por la empleadora para justificar la extinción de la relación laboral no estaban acreditadas en la carta de despido, además de no ser ciertas, reclamando asimismo cantidades que decía se le adeudaban por diferencias entre las nóminas percibidas durante el año 2016 y lo que debería haber recibido de acuerdo con lo establecido en el convenio colectivo aplicable. En la demanda se hizo constar como domicilio de la demandada “Casasimarro CP16239 (Cuenca) Carretera Almodóvar del Pinar s/n”.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28 de febrero de 2017 fue admitida la demanda por decreto del letrado de la administración de justicia, en el que acordó citar a las partes para que compareciesen al acto de conciliación y en su caso juicio el día 6 de junio de dicho año, emitiéndose una cédula de citación para convocar a la demandada a ese acto, en la que se hacía constar el nombre de la empresa y la dirección antes mencionada. Consta que el día 3 de marzo de 2017 se remitió a la demandada la cédula por medios telemáticos a la dirección electrónica habilitada y que fue recibida en dicha dirección electrónica al día siguiente, no constando en cambio que fuera retirada por el destinatario.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procedimiento de despido y reclamación de cantidad reseñado se acumuló el proceso por despido objetivo individual núm. 323-2017 del mismo juzgado, iniciado por la misma demandante contra la misma empresa demandada al haberse producido la comunicación de un nuevo despido por carta de 27 de febrero de 2017. Esta segunda demanda fue admitida a trámite por decreto del letrado de la administración de justicia de 7 de abril de 2017, con citación de las partes para el acto de conciliación y juicio el mismo día y hora que en el anterior proceso núm. 162-2017, al que por auto de 7 de abril de 2017 se acordó que fuera acumulado.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12 de junio de 2017, sin que conste en las actuaciones que se hubiera realizado una nueva citación para ese día, emitió el letrado de la administración de justicia una diligencia de constancia en la que se señalaba que se habían llevado a cabo las citaciones acordadas con resultado positivo, figurando en acta de esa misma fecha que se celebró el acto de conciliación en el que compareció la demandante, no así la empresa demandada, por lo que concluyó la comparecencia sin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Dictó sentencia el Juzgado de lo Social núm. 1 de Cuenca el 19 de junio de 2017, estimando íntegramente la pretensión actora. El antecedente de hecho segundo de la resolución judicial declara que se señaló día y hora para la celebración de los actos de conciliación y juicio, no habiendo comparecido la empresa demandada a pesar de haber sido citada en legal forma. El fallo declaraba improcedente el despido, condenando a la empresa a que en un plazo de cinco días desde la notificación de la resolución optase por readmitir a la trabajadora con abono de los salarios dejados de percibir desde la fecha del despido hasta la notificación de la sentencia o, en su defecto, al abono de la indemnización por la extinción contractual (56.123,66 €). Asimismo condenó a la empresa a abonar a la demandante la cantidad que reclamaba más los intereses legales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se comunicó a las partes por medios electrónicos, constando en las actuaciones que, respecto de la empresa demandada, la notificación fue enviada y recibida en la dirección electrónica el día 21 de junio de 2017, sin que figure que fuera retirada.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del letrado de la administración de justicia de 6 de julio de 2017 se hace constar que la sentencia no fue recurrida y que resultaba, por ello, firme, acordándose el archivo de las actuaciones, señalándose en la misma que fue notificada a la parte demandada el día 27 de junio de 2017. Dicha diligencia fue nuevamente comunicada por medios electrónicos.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recurrente en amparo presentó escrito de 5 de marzo de 2018 en el que, tras afirmar haber tenido conocimiento de embargo en su contra derivado del procedimiento de ejecución de la referida sentencia, se personaba en la causa, señalando que “[a]l parecer se ha procedido a efectuar todas las comunicaciones y citaciones a mi mandante mediante la remisión a una dirección electrónica de la cual no hace uso ni sabía de su existencia hasta ahora. Es más, se han celebrado todas las comparecencias sin que mi mandante tuviera ocasión de abrir correo alguno porque desconocía que pudiera existir notificación para el mismo. La parte actora sabe el domicilio de mi mandante y consta en sus escritos”. Solicitaba diversa documentación a fin de poder instar la nulidad de actuaciones por vulneración del art. 24.1 CE y certificación en la que se hiciera constar “si este juzgado ha notificado a mi mandante la existencia de esta dirección electrónica a la que ha remitido las notificaciones o, en caso contrario, certificación en la que se exprese si […] le consta que mi mandante tenía conocimiento de la existencia de esa dirección electrónica en la que recibir sus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6 de marzo de 2018 se tuvo por personada a Champicasa, S.A.T. en los autos, rechazándose la entrega de la documentación solicitada sobre el procedimiento y “haciéndole saber que la citación y sentencia ha sido notificada a su representada por medio de la sede electrónica, tal como marca la ley a partir del 1 de enero de 2017 para las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recurrente en amparo presentó en el juzgado competente escrito de fecha 22 de marzo de 2018, en el que manifiesta que tuvo información extrajudicial a través de la Agencia Tributaria de la existencia de un embargo contra ella, y que, una vez enterado de qué procedimiento judicial derivaba tal embargo, se personó en el juzgado y tuvo conocimiento del juicio por despido y del posterior proceso de ejecución llevados a efecto sin que tuviera noticia por haber sido hechas las comunicaciones electrónicamente, todo lo cual sería contrario, a su criterio, al derecho a la tutela judicial efectiva (art. 24.1 CE), al haberse prescindido de las normas esenciales del proceso, causándole indefensión. Aducía, concretamente, que la primera comunicación a las partes no personadas, de acuerdo con el art. 155 de la Ley de enjuiciamiento civil (LEC), debe hacerse por remisión al domicilio bien sea por cédula o por correo certificado y no por comunicación electrónica, alegando infracción de los arts. 53.1 y 2 y 56.1, 4 y 5 de la Ley reguladora de la jurisdicción social (LJS) en relación con el art. 162 LEC y art. 3 del Real Decreto 1065/2015, de 27 de noviembre. Formulaba con base en todo ello incidente de nulidad de actuaciones para la declaración de la nulidad de lo actuado desde la admisión a trámite de las demandas de despido acumuladas, incluyendo el juicio oral celebrado, la sentencia dictada y la ejecución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admitir y tramitar el incidente, mediante auto de 26 de abril de 2018 el Juzgado de lo Social núm. 1 de Cuenca desestimó la solicitud de nulidad. Razonaba que “no se aporta prueba alguna (preferentemente documental) donde mínimamente se acredite la no recepción en destino de la diligencia de ordenación para la citación de los mismos, antes al contrario consta fehacientemente a través de su dirección electrónica habilitada que dicha diligencia fue efectivamente recibida en destino en respectivas fechas de 4 de marzo de 2017 a las 09:53 horas y 21 de junio de 2017 a las 22:26 horas”, de modo que, con base en los arts. 152.2 y 162.1 LEC, que se transcribían, concluía que no existió indefensión alguna y que procedía desestimar la petición de nulidad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fecha 11 de junio de 2018, Champicasa, S.A.T. interpuso demanda de amparo contra el mencionado auto de 26 de abril de 2018, que desestimó el incidente de nulidad de actuaciones reseñado, invocando la vulneración del derecho a la tutela judicial efectiva sin indefensión consagrado en el art. 24.1 CE. Interesa que se otorgue el amparo con declaración de la vulneración del art. 24.1 CE y nulidad de las actuaciones procesales desde el decreto de admisión de la demanda de fecha 28 de febrero de 2017 en el procedimiento de despido núm.162-2017, también de la sentencia dictada, del procedimiento de ejecución de la misma y de cuantas actuaciones se hubieran derivado de los mismos, retrotrayendo los procedimientos de despido acumulados al momento inmediatamente anterior al señalamiento y citación a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Reiterando los argumentos que ya enunció en el incidente de nulidad, subraya que el órgano judicial ha infringido en sus actuaciones de citación y emplazamiento inicial la doctrina de este Tribunal sobre la necesidad de que se agoten las posibilidades mínimas exigibles para garantizar la efectiva notificación al demandado de la existencia y citación al procedimiento, de modo que pueda seguirse este con posibilidad de efectuar alegaciones y ejercitar cuantas actuaciones sean precisas para la defensa de sus derechos (cita la STC 39/2018, de 25 de abril). Los arts. 152.2 y 162.2 LEC, en relación con el art. 53.1 LJS, añade seguidamente, deben ser interpretados secundum constitutionem, de modo que, cuando del examen de los autos o de la documentación aportada por las partes se deduzca la existencia de un domicilio que haga factible practicar de forma personal los actos de comunicación procesal con el demandado, debe intentarse esa forma de notificación. No habiéndose obrado de ese modo en el presente caso, suplica al Tribunal el otorgamiento del amparo en los términos antes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la Sala Segunda de este Tribunal, por providencia de fecha 17 de junio de 2019, acordó admitir a trámite el recurso, apreciando que existe especial trascendencia constitucional [art. 50.1 de la Ley Orgánica del Tribunal Constitucional (LOTC)] porque plantea un problema o afecta a una faceta de un derecho fundamental sobre el que no hay doctrina de este Tribunal [STC 155/2009, FJ 2 a)]. Asimismo, habiéndose interesado previamente la remisión de copia adverada de las actuaciones, en aplicación de lo dispuesto en el art. 51 LOTC, acordó emplazar a través del Juzgado de lo Social núm.1 de Cuenca a quienes hubieran sido parte en el procedimiento de despido objetivo individual núm. 162-2017, en relación con la pieza de nulidad de actuaciones núm. 5-2018, excepto a la parte recurrente en amparo, para que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17 de septiembre de 2019, se dictó diligencia de ordenación en la que se acordó tener por personada a la procuradora de los tribunales doña Isabel Cañedo Vega en nombre y representación de doña Emilia Simarro Oñate, que lo solicitó mediante escrito presentado el día 29 de julio del 2019, así como dar vista de las actuaciones recibidas a las partes personadas y al Ministerio Fiscal, por plazo común de veinte días, para que pudieran presentar las alegaciones que estimasen pertinentes, conforme dispone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fecha 2 de octubre de 2019, Champicasa, S.A.T. presentó sus alegaciones a través de su representación procesal. En síntesis, reiterando lo dicho en la demanda y citando la STC 47/2019, de 8 de abril, sostiene que la empresa demandante en este recurso de amparo no fue debidamente citada al juicio, pues no procedía la práctica de ese acto a través de la sede electrónica al tratarse del primer emplazamiento. Esa circunstancia causó indefensión dado que, como queda acreditado en las actuaciones, no fueron retiradas en sede electrónica por el destinatario ni la comunicación de aquella citación a juicio, ni la notificación de la sentencia, ni el emplazamiento al incidente de ejecución de la misma, no constando tampoco aviso o comunicación de tales notificaciones al correo electrónico asociado a la dirección electrónica habilitada. Todo ello resultaría decisivo en términos de defensa, habida cuenta que la incomparecencia ocasionó el dictado de la sentencia condenatoria en materia de despido, al impedírsele a la empleadora acreditar los motivos de la extinción del contrato por causas objetivas.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17 de octubre de 2019, evacuó el trámite la personada doña Emilia Simarro Oñate. Aduce que la citación a la vista oral se realizó en la dirección electrónica habilitada, lo mismo que la notificación de la sentencia dictada en el procedimiento de despido, de suerte que se siguieron los trámites establecidos en la ley, siendo imputable a la empresa, por falta de diligencia, la indefensión a la que alude, no pudiendo el recurso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18 de octubre de 2019, presentó sus alegaciones el Ministerio Fiscal. Después de resumir los antecedentes más relevantes de los que trae causa el presente recurso de amparo y los aspectos esenciales contenidos en la demanda, considera que resulta de aplicación la doctrina sentada por la STC 47/2019, de 8 de abril. A su juicio, en el auto resolutorio del incidente de nulidad no hay un verdadero análisis sobre la validez de la comunicación electrónica efectuada, sobre todo porque no atiende a la regulación que contienen los arts. 56.1 LJS y 155 LEC en cuanto a que la primera comunicación que se realice a las partes no personadas debe efectuarse por remisión al domicilio por correo certificado. Junto a ello, añade, conforme a la doctrina emanada de la STC 47/2019, la fundamentación del auto impugnado contendría un error, pues considera que la realización de los actos de comunicación a través de medios electrónicos, telemáticos o de otra clase semejante, es el único modo de comunicación del juzgado con las personas jurídicas, o al menos que es preferente a la utilización del correo certificado con acuse de recibo en el domicilio señalado en la demanda, resultando que, en verdad, no es de ese modo cuando se trata del de citación o emplazamiento del demandado aún no personado en el procedimiento (art. 155 LEC). Por lo demás y en todo caso, prosigue, tratándose de la primera comunicación, al constatarse que la realizada en sede electrónica no había sido retirada, tuvo el juzgado la posibilidad consecutiva de evitar la indefensión procediendo a hacerla por correo certificado con acuse de recibo en el domicilio señalado en la demanda (art. 55 LJS) o a través de comunicación personal (art. 158 LEC), lo que no efectuó ni en origen ni en ese momento posterior al intento de comunicación electrónica.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no habiendo quedado acreditado el conocimiento extraprocesal del proceso o de la ejecución por la aquí recurrente ni la negligencia de esta, se concluye que el auto recurrido es contrario a la doctrina constitucional y no resulta fundado en Derecho. Interesa por ello la estimación del recurso de amparo por vulneración del art. 24.1 CE, en su vertiente de acceso al proceso, y que la nulidad alcance a la sentencia y a las demás resoluciones del procedimiento de despido y del de ejecución de la sentencia, con retroacción de actuaciones hasta el momento de citación a juicio para que se proceda a señalar una nueva fecha para el acto de conciliación y en su caso vista, citando correctamente a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23 de enero de 2020, se señaló para votación y fallo del presente recurso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del auto del Juzgado de lo Social núm. 1 de Cuenca, de fecha 26 de abril de 2018, por el que se desestima el incidente de nulidad de actuaciones núm. 5-2018 promovido por la demandante en amparo en procedimiento de despido objetivo individual núm. 162-2017. La recurrente considera que ha resultado vulnerado su derecho a la tutela judicial efectiva (art. 24.1 CE), en su vertiente de derecho de acceso al proceso, pues, según afirma, no fue emplazada en la forma prescrita en la normativa procesal aplicable para el primer emplazamiento o citación a juicio, razón por la cual sufrió una situación de indefensión lesiva de aquel derecho fundamental, vulneración que el órgano judicial consolidó con la desestimación de la solicitud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 a ello doña Emilia Simarro Oñate, que intervino en la vía judicial previa, puesto que, a su criterio, la falta de recepción de los actos de citación y notificación es imputable a una falta de diligencia de la recurrente. El Ministerio Fiscal, de su lado, solicita la estimación de la demanda de amparo con base, en esencia, en la doctrina sentada en la STC 47/2019, de 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STC 47/2019, de 8 de abril, FFJJ 3 y 4, este Tribunal ha analizado el marco normativo establecido en la Ley reguladora de la jurisdicción social en relación con los actos de comunicación procesal. Al hacerlo, hemos constatado que dicha Ley se remite (art. 56 LJS), en cuanto a la utilización de medios electrónicos, a lo previsto con carácter general en la Ley de enjuiciamiento civil (LEC). Al analizar esta última hemos considerado, en línea con lo anticipado en la STC 6/2019, de 17 de enero, FJ 3, dictada por el Pleno de este Tribunal, que, si bien dicha ley procesal impone a las personas jurídicas la obligación general de comunicarse con la administración de justicia a través de medios electrónicos [art. 273.3 a) LEC], el régimen jurídico específicamente aplicable al primer emplazamiento es el del art. 155.1, 2 y 3 LEC y del art. 273.4, párrafo 2 LEC, que exigen la “remisión al domicilio de los litigantes” (art. 155.1 LEC), estableciendo de forma específica tanto la obligación de hacer constar en la demanda o en la petición o solicitud con la que se inicie el proceso “el domicilio del demandado, a efectos del primer emplazamiento o citación de este” (art. 155.2 LEC), como la de presentar en papel “los escritos y documentos que se presenten vía telemática o electrónica que den lugar al primer emplazamiento, citación o requerimiento del demandado” (art. 273.4, segundo párrafo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regulación, este Tribunal ha concluido en la citada STC 47/2019 —y así lo ha reiterado en otras también referidas a procedimientos de despido, como las SSTC 102/2019, de 16 de septiembre, FJ 2, y 150/2019, de 25 de noviembre, FJ 3, pero también en las SSTC 122/2019, de 28 de octubre, FJ 3, en un proceso monitorio, o 129/2019, de 11 de noviembre, FJ 4, en un incidente concursal— que no se ha de llevar a cabo por medios electrónicos la comunicación al demandado aún no personado en el procedimiento, en cuanto a los actos de citación o emplazamiento, conforme a lo previsto en el art. 155.1 LEC, los cuales se harán por remisión al domicilio de los litigantes. Tal es la regla que opera en el proceso laboral (art. 53.1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hecho de que, por imperativo legal (los sujetos mencionados en el art. 273.3 LEC) tengan que actuar en el proceso sirviéndose de esas vías tecnológicas y que, de acuerdo a lo previsto en el art. 152.2 LEC, ello dé lugar a que los actos de comunicación también se deban practicar por medios electrónicos, no autoriza a entender, con fundamento en ese deber de relacionarse con la administración de justicia por medios electrónicos o telemáticos, que esas personas y entidades queden constreñidas, en cualquier caso y circunstancia, a recibir los actos de comunicación a través de esos medios, hasta el extremo de quedar neutralizada la regulación legal especialmente prevista, sin distinción de supuestos o sujetos, para las primeras citaciones o emplazamientos del demandado en el art. 155.1 y 2 LEC. Tan es así que, por su vinculación a los poderes públicos tras la publicación en el “BOE” de la STC 47/2019 [arts. 40.2 LOTC y 5.1 de la Ley Orgánica del Poder Judicial (LOPJ)], la Secretaría General de la Administración de Justicia del Ministerio de Justicia ha dirigido una comunicación el 21 de mayo de 2019 a las secretarías de gobierno del Tribunal Supremo, Audiencia Nacional y Tribunales Superiores de Justicia de las Comunidades Autónomas, citando la STC 47/2019, en su fundamento jurídico 4, para que cuiden “que la doctrina interpretativa de las normas procesales reguladoras del primer emplazamiento de personas jurídicas sentada por el Tribunal Constitucional, cuyo obligado acatamiento impone la Ley Orgánica del Poder Judicial, sea observada en todas las oficinas judiciales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expuesta resulta aplicable al supuesto que analizamos, de manera que el Juzgado de lo Social núm. 1 de Cuenca debería haber efectuado la primera citación o emplazamiento de la empresa, aún no personada en el procedimiento de despido núm. 162-2017, por correo certificado con acuse de recibo en el domicilio designado por la demandante, en lugar de realizarla por medios telemáticos a través de la dirección electrónica habilitada.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la STC 47/2019, de 8 de abril, debe aplicarse al presente recurso de amparo y, en consecuencia, debe declararse la vulneración del derecho a la tutela judicial efectiva sin indefensión (art. 24.1 CE) de la demandante y estimar el presente recurso de amparo. Por ello, de conformidad con lo establecido en el art. 55 LOTC, procede declarar la nulidad del auto del Juzgado de lo Social núm. 1 de Cuenca, de fecha 26 de abril de 2018, por el que se desestima el incidente de nulidad de actuaciones núm. 5-2018 promovido en el procedimiento de despido objetivo individual núm. 162-2017, y de la sentencia de ese juzgado de lo social de 19 de junio de 2017, dictada en dicho proceso, que estimó íntegramente la pretensión actora, acordando la retroacción de las actuaciones hasta el momento procesal oportuno, a fin de que se proceda de nuevo a la citación de la empresa recurrente para los actos de conciliación y juicio, actuándose de manera respetuosa con el derecho fundamental indicado.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ha decidido estimar el recurso de amparo interpuesto por la empresa Champicasa, S.A.T.,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del Juzgado de lo Social núm. 1 de Cuenca, de fecha 26 de abril de 2018, por el que se desestima el incidente de nulidad de actuaciones núm. 5-2018 promovido por la demandante en el procedimiento de despido objetivo individual núm. 162-2017, y de la sentencia de ese juzgado de lo social de 19 de junio de 2017, dictada en dicho proceso, cuya nulidad también se acuerda.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del procedimiento por despido núm. 162-2017 hasta el momento pertinente para el nuevo señalamiento de los actos de conciliación y juicio, a fin de que la nueva citación para los referidos actos se lleve a cabo de manera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