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4795-2017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4795-2017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noviembre de 2018, la procuradora de los tribunales doña Patricia Gómez Martínez, en nombre y representación de don Alfredo Ballesteros Ainsa, y bajo la dirección del letrado don Julio de Santa Ana Campillo, interpuso recurso de amparo contra el auto del Juzgado de Primera Instancia núm. 14 de Sevilla de 27 de julio de 2017, por el que se inadmite el incidente de nulidad de actuaciones interpuesto contra el auto de 1 de junio de 2017, por el que se acuerda mantener la resolución de la Comisión de Asistencia Jurídica Gratuita denegando el reconocimiento del derecho a la asistencia jurídica gratuita en el procedimiento de impugnación 189-2017.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 la ejecución del auto judicial impugnado “a fin de impedir la efectividad de la pretensión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25 de noviembre de 2019,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19 de diciembre de 2019, presentó alegaciones interesando que se deniegue la suspensión, ya que el demandante no solo no aporta un principio razonable de prueba del presunto perjuicio irreparable sino que solicita la suspensión sin explicitar ninguna razón de los eventuales perjuicios que le produciría la no suspensión del auto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registrado el 10 de diciembre de 2019, presentó alegaciones reiterando su solicitud de suspensión, insistiendo en la irreparabilidad de los derechos fundamentales afectados pues “se sigue perpetuando la injusticia manifestada objeto del amparo”, que el amparo perdería así su finalidad y que la suspensión no va a producir perturbaciones graves.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consistente en que se suspenda la ejecución de una decisión judicial por la que se confirma la denegación del derecho de asistencia jurídica gratuita fundamentada en la insostenibilidad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(así,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no suspensión de la decisión judicial de confirmar la denegación del derecho a la asistencia jurídica gratuita por insostenibilidad de la pretensión le causaría un perjuicio irreparable al seguirse perpetuando la lesión del derecho fundamental invocado, pero, sin añadir ninguna otra consideración sobre la eventual afectación a cualquier otro interés personal que pudiera estar ventilándose en el procedimiento judicial subyacente. En tales circunstancias, no es posible afirmar que el mantenimiento de la situación de denegación del derecho de asistencia gratuita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suspensión de la decisión judicial impugnada implicaría el reconocimiento del derecho a la asistencia jurídica gratuita, lo que, por su propia naturaleza, supondría no solo un otorgamiento anticipado del recurso de amparo, contrario a reiterada jurisprudencia constitucional (ATC 55/2019, de 3 de junio, FJ 2); sino desconocer elementales exigencias de subsidiariedad ya que, en atención a las vulneraciones alegadas, que quedan limitadas a garantías procedimentales en el proceso de reconocimiento de este derecho a la asistencia jurídica gratuita, pero no a sus requisitos sustantivos, incluso una eventual estimación del amparo tendría como único efecto, tal como ha solicitado el demandante, la retroacción de las actuaciones para un nuevo pronunciamiento sobre el reconocimiento de ese derecho, pero no el reconocimiento directo del derecho a la asistencia jurídica gratuita, que es lo que se pretende obtener en esta pieza de suspensión por parte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