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enero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1594-2019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1594-2019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65-2018 seguido en el Juzgado de Primera Instancia e Instrucción núm. 6 de Lorca.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12 de marzo de 2019, la procuradora de los tribunales doña Blanca Berriatua Horta, en nombre y representación de la entidad Euroinversiones Inmobiliarias Costa Sur, S.L., y bajo la dirección del letrado don Marcelino Gilabert García, interpuso recurso de amparo contra el auto del Juzgado de Primera Instancia e Instrucción núm. 6 de Lorca de 22 de enero de 2019, por el que se desestima el recurso de reposición interpuesto contra el auto de 19 de septiembre de 2019, por el que se inadmite el escrito de oposición a la ejecución hipotecaria en el procedimiento de ejecución hipotecaria núm. 65-2018.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solicita por otrosí la suspensión del procedimiento de ejecución hipotecaria alegando que “la continuación de la ejecución derivada de los pronunciamientos judiciales que han sido objeto de impugnación, con la celebración de subasta y la eventual adjudicación a terceros, pueden hacer perder al recurso de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de este Tribunal por sendas providencias de 16 de diciembre de 2019, acordó, en la primera, entre otros aspectos, la admisión a trámite de la demanda de amparo y la formación de pieza separada para la sustanciación del incidente de suspensión; y, en la segunda, formar la oportuna pieza para la tramitación del incidente sobre suspensión y conceder al recurrente y al Ministerio Fiscal el plazo común de tres días para que alegasen lo que estimasen pertinente sobre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por escrito registrado el 9 de enero de 2020, presentó alegaciones interesando que se deniegue la suspensión pero que se acuerde la anotación preventiva de la demanda de amparo, argumentando que la petición no aparece muy fundamentada y que el efecto protector deseado por la entidad demandante frente a la posible adjudicación a un tercero de buena fe del bien subastado se obtendría de manera mucho más eficaz mediante la anotación preventiva de la demanda de amparo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entidad demandante, por escrito registrado el 30 de diciembre de 2019, presentó alegaciones reiterando su solicitud de suspensión, insistiendo en que con la celebración de subasta y la eventual adjudicación a terceros o a la entidad ejecutante el recurso de amparo perdería su finalidad y le provocaría perjuicios patrimoniales de imposible o difícil reparación. También pone de manifiesto que la posible adjudicación del bien inmueble a terceros de buena fe conllevaría a situaciones irreversibles.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medida cautelar instada por la parte recurrente en amparo y dirigida frente al procedimiento de ejecución hipotecaria núm. 65-2018 seguido en el Juzgado de Primera Instancia e Instrucción núm. 6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suspensión, en todo caso, no puede ocasionar ninguna perturbación grave a un interés constitucionalmente protegido, ni a los derechos fundamentales o libertades de otra persona, razón por la que se configura como una medida de carácter excepcional y de aplicación restrictiva (así,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el carácter no reparable o la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25 de febrero, FJ 2; 74/2013, de 8 de abril, FJ 2; 152/2013, de 8 de julio, FJ 2; 37/2014, de 10 de febrero, FJ 2; 282/2014, de 17 de noviembre, FJ 3,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aquellos,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aquí planteado de la doctrina de la que se ha hecho mención permite concluir, de acuerdo con el fiscal, que resulta improcedente la suspensión solicitada y, por el contrario, aparece como medida idónea la anotación preventiva de la demanda de amparo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recurrente se limita a poner de manifiesto, genéricamente, que la eventual adjudicación a terceros puede hacer perder al recurso de amparo su finalidad, sin añadir indicación alguna sobre la situación y circunstancias de dicha entidad mercantil, como tampoco sobre las características, destino y estado posesorio del inmueble hipotecado. En tales circunstancias, no es posible afirmar que la continuación del curso del procedimiento judicial, incluso con un desplazamiento posesorio, provoque por sí solo un perjuicio determinante de la pérdida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consideración llevan a estimar la procedencia de acordar, de modo alternativo, la medida cautelar de anotación preventiva de la demanda de amparo en el registro de la propiedad, en cuanto se reputa medida idónea para evitar el perjuicio derivado de que la adquisición del bien por tercero lo hiciera irreivindicable; situación a la que se hace referencia en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misma ha sido la solución acogida recientemente, entre otros, en los AATC 106/2017, de 17 de julio, FJ 3; 88/2018, de 17 de septiembre, FJ 5; 2/2019, de 9 de enero, FJ 4, y 85/2019, de 15 de julio, a propósito de otros procedimientos hipotecarios, donde se plantearon los mismos argumentos que aquí para solicitar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LOTC, puede adoptar de oficio o a instancia de parte, con fundamento en el art. 42.1 de la Ley hipotecaria, y que, de acuerdo con el ATC 95/2015, de 25 de mayo,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Nuestra decisión en esta materia se limita, en tal sentido, “a ordenar que se practique la anotación preventiva, remitiendo al órgano judicial la práctica de las actuaciones pertinentes para que pueda llevarse a efecto la medida, de conformidad con la legislación procesal e hipotecaria (AATC 257/2003, de 14 de julio, 406/2003, de 15 de diciembre, 230/2007, de 7 de mayo, FJ 3; 415/2007, de 5 de noviembre, FJ 4, y 217/2012, de 26 de noviembre, FJ 2)” (AATC 21/2018, de 5 de marzo, FJ 5, y 88/2018, de 17 de septiembre,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alternativamente,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65-2018 seguido en el Juzgado de Primera Instancia e Instrucción núm. 6 de Lorca.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enero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