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enero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3537-2019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3537-2019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382-2018 seguido en el Juzgado de Primera Instancia e Instrucción núm. 5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 Con fecha 6 de junio de 2019 tuvo entrada en el registro general del Tribunal Constitucional un escrito de la procuradora doña Blanca Berriatua Horta, en representación de la entidad Euroinversiones Inmobiliarias Costa Sur, S.L., por el que interpuso recurso de amparo contra el auto de 23 de abril de 2019 del Juzgado de Primera Instancia e Instrucción núm. 5 de Lorca, que desestima el recurso de reposición interpuesto por la ahora actora frente al auto de 21 de septiembre de 2018, que inadmitió por extemporánea la demanda de oposición presentada en el seno de la ejecución hipotecaria 382-2018, promovida por Banco de Sabadell, 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21 de septiembre de 2018, el Juzgado de Primera Instancia e Instrucción núm. 5 de Lorca dictó un auto en el procedimiento de ejecución hipotecaria núm. 382-2018 por el que acordó: “Inadmitir a trámite la oposición formulada por la parte ejecutada Penrei Inversiones, S.L., y Euro Inversiones Inmobiliarias Costa Sur, S.L.”, advirtiendo en pie de recurso que contra dicha resolución cabía recurso de reposición.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juzgado basó su decisión, conforme a su fundamento de Derecho único, en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establece en el artículo 134 de la Ley de enjuiciamiento civil (LEC), la improrrogabilidad de los plazos establecidos en la misma, y en el artículo 136 LEC, que transcurrido o pasado el término señalado para la realización de un acto procesal de parte se producirá la preclusión y se perderá la oportunidad de realizar el acto de que se trate.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Establece el artículo 695 LEC, que la parte ejecutada puede oponerse al despacho de ejecución en los términos de dicho artículo y en el plazo de diez días a contar desde el siguiente a la notificación del auto y del decreto. Constando en el presente supuesto que la parte ejecutada se ha opuesto una vez transcurrido el plazo que legalmente se le otorga, debe ser inadmitida su oposición por extemporánea, de conformidad con lo establecido en los preceptos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Formalizado contra dicho auto recurso de reposición por la entidad aquí demandante de amparo, el juzgado a quo dictó auto el 23 de abril de 2019 desestimándolo, con confirmación de la resolución recurrida, en virtud de los motivos expresados en su razonamiento jurídico segundo: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consta que la notificación se puso a disposición de las recurrentes en fecha 13 de junio de 2018 no accediendo al contenido hasta el día 24 de julio de 2018 (fuera de los diez días naturales), presentando los escritos de oposición a la ejecución en fecha 31 de julio de 2018 claramente fuera del plazo legalmente establecido en el art. 556. 1 LEC (dentro de los diez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traía el siguiente pie de recurso: “Notifíquese esta resolución a las partes personadas, haciéndoles [sic] que es firme, y contra la misma no cabe recurso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las resoluciones judiciales impugnadas causan la vulneración de los derechos a la tutela judicial efectiva (art. 24.1 CE) y a un proceso con todas las garantías (art. 24.2 CE) de la entidad recurrente, al haberse efectuado su emplazamiento como ejecutada en el procedimiento hipotecario de referencia, a través de un correo electrónico remitido por un servicio de notificaciones electrónicas, tratándose de su primer emplazamiento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reconoce que si bien la recurrente, por ser una persona jurídica, viene por ello obligada a relacionarse con la administración de justicia a través de medios electrónicos, no obstante cuando es el primer emplazamiento y por tanto todavía aquélla “no ha tenido ninguna relación con el juzgado correspondiente en este especial y concreto procedimiento”, ha de practicarse mediante cédula con entrega en papel de la documentación correspondiente, conforme establece el art. 273 LEC, en relación con los arts. 135, 152, 162 y 155 de la misma LEC. Este último, precisa, “es categórico al respecto ya que en su punto primero nos indica que cuando las partes no actúen representadas por procurador o se trate del primer emplazamiento o citación al demandado, los actos de comunicación se harán por remisión al domicilio de los litigantes”. Añade que incluso la notificación realizada tampoco cumple con las formalidades de las comunicaciones electrónicas. Pese a todo esto, el auto dictado por el juzgado el 21 de septiembre de 2018 declaró extemporánea la presentación del escrito de oposición, computando el plazo de diez días desde la fecha de envío de aquel correo a través de la dirección electrónica habilitada.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el auto de 23 de abril de 2019, que desestimó la reposición, se rechaza por la recurrente que haya fundamentado su decisión en la ley de procedimiento administrativo común, “que consideramos inaplicable al ámbito procesal civil, puesto que además de existir normas concretas al respecto, no se dan en uno y otro ámbito las mismas garantías procedimentales”; siendo que en materia de notificación de actos procesales existe su propia normativa tanto en la Ley de enjuiciamiento civil —los artículos arriba citados—, como en el haz de garantías del propio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se solicita que este Tribunal Constitucional, con estimación del amparo, acuerde la nulidad de ambas resoluciones judiciales y ordene reponer las actuaciones al momento previo al dictado de la primera de aquéllas, a fin de que el juzgado a quo admita a trámite la “demanda de oposición al despacho de ejecución formulada por mi representada”.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un “segundo otrosí digo”, el escrito de demanda argumentó “que la continuación de la ejecución derivada de los pronunciamientos judiciales que han sido objeto de impugnación, con la celebración de subasta y la eventual adjudicación a terceros, pueden hacer perder al recurso de amparo su finalidad, por lo que solicito la suspensión de la continuación del procedimiento de ejecución hipotecaria 382-2018 seguido ante el Juzgado de Primera Instancia e Instrucción núm. 5 de Lorca, hasta tanto sea resuelto el presente recurso de amparo, poniéndolo en conocimiento del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Sección Cuarta, de este Tribunal Constitucional, dictó providencia el 28 de octubre de 2019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Cuarta ha examinado el recurso de amparo y ha acordado admitirlo a trámite, apreciando que concurre en el mismo una especial trascendencia constitucional (art. 50.1 LOTC) porque el recurso plantea un problema o afecta a una faceta de un derecho fundamental sobre el que no hay doctrina de este Tribunal [STC 155/2009, FJ 2 a)], así como que el recurso puede dar ocasión al Tribunal para aclarar o cambiar su doctrina, como consecuencia de cambios normativos relevantes para la configuración del contenido del derecho fundamental [STC 155/2009, FJ 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51 LOTC, diríjase atenta comunicación al Juzgado de Primera Instancia e Instrucción núm. 5 de Lorca a fin de que, en plazo que no exceda de diez días, remita certificación o fotocopia adverada de las actuaciones correspondientes al procedimiento de ejecución hipotecaria núm. 382-2018; debiendo previamente emplazarse, para que en el plazo de diez días puedan comparecer, si lo desean, en el recurso de amparo a quienes hubieran sido parte en el procedimiento, excepto la parte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la solicitud de la parte actora, fórmese la correspondiente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nueva providencia dictada por la Sección Cuarta de este Tribunal en la misma fecha de la admisión del recurso, el 28 de octubre de 2019, se dispuso “formar con la precedente fotocopia, la oportuna pieza para la tramitación del incidente sobre suspensión y conforme determina el artículo 56 de la Ley Orgánica de este Tribunal, conceder un plazo común de tres días a la parte recurrente y al Ministerio Fiscal para que aleguen lo que estimen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 la entidad recurrente presentó su escrito de alegaciones con fecha 5 de noviembre de 2019, interesando se acceda a lo solicitado en cuanto a la suspensión del procedimiento de ejecución hipotecaria referido.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 efecto alega que la continuación de tal procedimiento, “con la celebración de subasta y la eventual adjudicación a terceros harían perder al recurso de amparo su finalidad y provocarían perjuicios patrimoniales para mi representada de imposible o difícil reparación”. Invoca a su favor lo resuelto por este Tribunal en su ATC 287/2013, de 16 de diciembre, reiterando a renglón seguido las vulneraciones constitucionales de fondo que aduce en su demanda, e indicando que de celebrarse la subasta y la posible adjudicación del bien inmueble a terceros de buena fe, con “desposesión del bien ejecutado, conllevaría a situaciones irreversibles, con un inevitable perjuicio para mi representada”.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el fiscal ante este Tribunal Constitucional formalizó su escrito de alegaciones en esta pieza el 15 de noviembre de 2019, interesando que se adopte únicamente la medida de anotación preventiva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cita del art. 56.2 LOTC y reproducir lo declarado en el ATC 127/2015, de 20 de julio, FJ 1, en relación con la necesidad de acreditar por el interesado la existencia de un perjuicio irreparable, para poder acordarse la suspensión de los actos impugnados en amparo, sostiene el Fiscal que en el presente caso, la “suspensión solicitada comportaría la paralización del procedimiento ejecutivo que, por su propia naturaleza, goza de las características de celeridad y sumariedad pero, también es obvio que, de continuar al procedimiento este acabará con la subasta del bien hipotecado y con la eventual adjudicación a un tercero de buena fe lo que haría irreversible esa situación aun cuando el amparo solicitado prosperara. Para conseguir el efecto protector deseado por la recurrente y enervar los indeseados efectos de la paralización del procedimiento, se puede acordar la anotación preventiva de la demanda de amparo en el registro de la propiedad, ya que de esta manera se daría publicidad frente a terceros de la pendencia del recurso, lo que conlleva el conocimiento de los efectos que sobre la titularidad de la vivienda puede tener el otorgamiento del amparo en su caso, evitando que el hipotético tercero adquirente queda especialmente protegido por su buena fe en la adquisición”. Cita en apoyo de su petición el art. 56.3 LOTC, que permite al Tribunal adoptar toda medida que evite que el recurso de amparo pueda perder su finalidad, así como el ATC 2/2019, de 9 de enero,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Insiste finalmente en que es procedente la medida de anotación preventiva “que haría que lo que consta en el registro de la propiedad fuera fiel reflejo de la realidad, evitando situaciones cuya reversibilidad sería que imposible [sic]”.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382-2018 seguido en el Juzgado de Primera Instancia e Instrucción núm. 5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el carácter no reparable o la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25 de febrero, FJ 2; 74/2013, de 8 de abril, FJ 2; 152/2013, de 8 de julio, FJ 2; 37/2014, de 10 de febrero, FJ 2; 282/2014, de 17 de noviembre, FJ 3,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de la que se ha hecho mención permite concluir, de acuerdo con el fiscal, que resulta improcedente la suspensión solicitada y, por el contrario, aparece como medida idónea la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dicha entidad mercantil, como tampoco sobre las características, destino y estado posesorio del inmueble hipotecado. En tales circunstancias, no es posible afirmar que la continuación del curso del procedimiento judicial, incluso con un desplazamiento posesorio, provoque por sí solo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hiciera irreivindicable; situación a la que se hace referencia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106/2017, de 17 de julio, FJ 3; 88/2018, de 17 de septiembre, FJ 5, y 2/2019, de 9 de enero,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y que, de acuerdo con el ATC 95/2015, de 25 de mayo,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Nuestra decisión en esta materia se limita, en tal sentido,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 (AATC 21/2018, de 5 de marzo, FJ 5, y 88/2018, de 17 de septiembre,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382-2018 seguido en el Juzgado de Primera Instancia e Instrucción núm. 5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enero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