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Denegar la suspensión cautelar solicitada del procedimiento de ejecución hipotecaria núm. 293-2018,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Euroinversiones Inmobiliarias Costa Sur, S.L., representada por la procuradora de los tribunales doña Blanca Berriatua Horta y bajo la dirección del letrado don Marcelino Gilabert García, interpuso recurso de amparo contra los autos de 21 de septiembre de 2018 y 23 de abril de 2019, dictados por el Juzgado de Primera Instancia e Instrucción núm. 5 de Lorca, en el procedimiento de ejecución hipotecaria núm. 293-2018,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293-2018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43.292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9 de mayo de 2018 se acordó despachar ejecución frente las sociedades demandadas por la cantidad de 2.604,39 € de principal y 2.400 € como intereses y costas presupuestados. El citado auto y el decreto de la misma fecha que le sigue fueron comunicados a las citadas sociedades a través de la sede judicial electrónica el día 11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10 de julio de 2018. Por auto de 21 de septiembre de 2018 se acordó su inadmisión por considerar la pretensión extemporánea, tomando como fecha de notificación el 11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11 de mayo de 2018, sino el 26 de junio siguiente, fecha en la que accedió a la web y procedió a su descarga, y que la comunicación remitida a través de la dirección electrónica habilitada no puede entenderse más que un aviso de puesta a disposición o descarga de su contenido durante un plazo determinado (en el caso desde el 11 de mayo hasta el 26 de junio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23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en el presente caso “consta que la notificación se puso a disposición de las recurrentes en fecha 11 de mayo de 2018, no accediendo al contenido hasta el día 26 de junio de 2018 (fuera de los tres días que establece la normativa procesal), presentando los escritos de oposición a la ejecución en fecha 10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2019 la Sección Primera de este Tribunal acordó admitir a trámite el recurso de amparo y dirigir comunicación al Juzgado de Primera Instancia e Instrucción núm. 5 de Lorca, a fin de que, en plazo que no exceda de diez días, remitiera certificación o fotocopia adverada de las actuaciones correspondientes a los autos de ejecución hipotecaria y emplazara por el mismo plazo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4 de octubre de 2019 la parte demandante formuló sus alegaciones, reiterando lo expuesto en el otrosí de su demanda y trascribiendo como fundamento de su pretensión lo expresado en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17 de octubre de 2019,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el demandante no explicita razón alguna que permita afirmar que la continuación del procedimiento judicial, incluso con desplazamiento posesorio, provoque un perjuicio determinante de la pérdida de finalidad del recurso de amparo; por lo que resultando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293-2018,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148/2019, 150/2019, 155/2019 y 156/2019, de 25 de noviembre),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81/2019, de 15 de julio; 148/2019, 150/2019, 155/2019 y 156/2019, de 25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Denegar la suspensión cautelar solicitada del procedimiento de ejecución hipotecaria núm. 293-2018,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