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3539-2019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3539-2019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392-2018,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6 de junio de 2019, la entidad Penrei Inversiones, S.L., representada por la procuradora de los tribunales doña Blanca Berriatua Horta y bajo la dirección del letrado don Marcelino Gilabert García, interpuso recurso de amparo contra los autos de 21 de septiembre de 2018 y de 23 de abril de 2019, dictados por el Juzgado de Primera Instancia e Instrucción núm. 5 de Lorca, en el procedimiento de ejecución hipotecaria núm. 392-2018, por los que, respectivamente, se inadmite por extemporánea la demanda de oposición formulada y se confirma esta última decisión, tras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según se recogen en la demanda,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5 de Lorca se sigue procedimiento de ejecución hipotecaria núm. 392-2018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43.242 del Registro de la Propiedad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6 de junio de 2018 se acordó despachar ejecución frente las sociedades demandadas por la cantidad de 2.248,32 € de principal y 2.400 € presupuestados inicialmente para intereses y costas. El citado auto y el decreto de la misma fecha que le sigue fueron comunicados a las citadas sociedades a través de la sede judicial electrónica el día 13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legal de Euroinversiones Inmobiliarias Costa Sur, S.L., presentó escrito de oposición a la ejecución despachada con fecha 31 de julio de 2018. Por auto de 21 de septiembre de 2018 se acordó su inadmisión por considerar la pretensión extemporánea, tomando como fecha de notificación el 13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13 de junio de 2018, sino el 24 de julio siguiente, fecha en la que accedió a la web y procedió a su descarga, y que la comunicación remitida a través de la dirección electrónica habilitada no puede entenderse más que un aviso de puesta a disposición o descarga de su contenido durante un plazo determinado (en el caso desde el 13 de junio hasta el 24 de julio de 2018), pues entenderlo de otro modo, además de infringir los arts. 135, 152, 160, 162 de la Ley de enjuiciamiento civil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su tramitación, el recurso de reposición fue desestimado por auto de 23 de abril de 2019. Según esta resolución, la recurrente tiene la condición de persona jurídica y, por tanto, está obligada a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y 273.3 LEC. Según el auto, en el presente caso “consta que la notificación se puso a disposición de las recurrentes en fecha 13 de junio de 2018, no accediendo al contenido hasta el día 24 de julio de 2018 (fuera de los tres días que establece la normativa procesal), presentando los escritos de oposición a la ejecución en fecha 31 de julio de 2018, claramente fuera del plazo legalmente establecido en el art. 556.1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con la interpretación ofrecida en el auto objeto de impugnación, el juzgado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interprete, obligándole a promover la defensa mediante la correspondiente contradicción, tal y como reconoce la sentencia 37/1984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segundo otrosí la suspensión de la continuación del procedimiento de ejecución hipotecaria alegando que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27 de enero de 2020 la Sección Segunda de este Tribunal acordó admitir a trámite el recurso de amparo y dirigir comunicación al Juzgado de Primera Instancia e Instrucción núm. 5 de Lorca, a fin de que, en plazo que no exceda de diez días emplace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3 de febrero de 2020 la parte demandante formuló sus alegaciones, reiterando lo expuesto en el otrosí de su demanda y trascribiendo como fundamento de su pretensión lo expresado en parte del ATC 287/2013,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registrado el 11 de febrero de 2020, el ministerio fiscal se opuso a la pretendida suspensión del procedimiento de ejecución hipotecaria, e interesó que, alternativamente, se acuerde la anotación preventiva de la demanda de amparo en el registro de la propiedad, aunque esta última medida no haya sido solicitada en el recurso. Tras exponer la doctrina de este Tribunal sobre suspensión de resoluciones y actos impugnados, aduce que en el presente caso la petición del demandante no parece muy fundada, sostiene que acordar la suspensión comportaría la paralización del procedimiento ejecutivo, que por su propia naturaleza goza de las características de celeridad y sumariedad. Considera mucho más eficaz la anotación preventiva de la demanda en el registro de la propiedad, pues a través de dicha medida cautelar es posible evitar que un hipotético tercer adquirente del inmueble hipotecado, en virtud de su buena fe registral, quede especialmente protegido, perjudicando así los intereses concernidos.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suspensión cautelar instada por la parte recurrente en amparo y dirigida frente al procedimiento de ejecución hipotecaria núm. 392-2018,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esta razón, la pretensión cautelar analizada se configura como una medida de carácter excepcional y de aplicación restrictiva (por todos, AATC 117/2015, de 6 de julio, FJ 1; 59/2017, de 24 de abril, FJ 1, y 177/2019, de 16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FJ 1; 147/2017, de 13 de noviembre, FJ 1, y 177/2019,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282/2014, de 17 de noviembre, FJ 4; 59/2015, de 16 de marzo, FJ 2, y 177/2019,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a la que se ha hecho mención permite concluir, de acuerdo con lo solicitado por el ministerio fiscal, que resulta improcedente la suspensión solicitada del procedimiento de ejecución hipotecaria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igual que en procesos de amparo precedentes (AATC 81/2019, de 15 de julio, 148/2019, 155/2019, y 156/2019, de 25 de noviembre, FFJJ 3; y 170/2019, 171/2019, 173/2019, 174/2019, y 177/2019 de 16 de diciembre, FFJJ 3), 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De las actuaciones judiciales que han sido remitidas por el juzgado se desprende que al solicitarse el amparo el procedimiento se encontraba en la fase inicial, una vez rechazada la oposición a la ejecución. En tales circunstancias no es posible afirmar que la continuación del curso del procedimiento judicial, incluso si se produjera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como se anticipó, se reputa medida suficiente e idónea para evitar el perjuicio derivado de que la adquisición del bien por tercero lo haga irreivindicable. Esta misma ha sido la solución acogida recientemente, entre otros, en los AATC 148/2019, 155/2019 y 156/2019, FFJJ 3, y 170/2019, 171/2019, 173/2019, 174/2019, y 177/2019, FFJJ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hicimos en el fundamento tercero de los mencionados autos, 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392-2018,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