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3562-2019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291-2018,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junio de 2019, la entidad Euroinversiones Inmobiliarias Costa Sur, S.L., representada por la procuradora de los tribunales doña Blanca Berriatua Horta y bajo la dirección del letrado don Marcelino Gilabert García, interpuso recurso de amparo contra los autos de 21 de septiembre de 2018 y de 22 de abril de 2019, dictados por el Juzgado de Primera Instancia e Instrucción núm. 5 de Lorca, en el procedimiento de ejecución hipotecaria núm. 291-2018,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291-2018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43.290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9 de mayo de 2018 se acordó despachar ejecución frente las sociedades demandadas por la cantidad de 2.248,32 € de principal y 2.400 € presupuestados inicialmente para intereses y costas. El citado auto y el decreto de la misma fecha que le sigue fueron comunicados a las citadas sociedades a través de la sede judicial electrónica el día 11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10 de julio de 2018. Por auto de 21 de septiembre de 2018 se acordó su inadmisión por considerar la pretensión extemporánea, tomando como fecha de notificación el 11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11 de mayo de 2018, sino el 26 de junio siguiente, fecha en la que accedió a la web y procedió a su descarga, y que la comunicación remitida a través de la dirección electrónica habilitada no puede entenderse más que un aviso de puesta a disposición o descarga de su contenido durante un plazo determinado (en el caso desde el 11 de mayo hasta el 26 de junio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22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273.3 LEC. Según el auto, en el presente caso “consta que la notificación se puso a disposición de las recurrentes en fecha 11 de mayo de 2018, no accediendo al contenido hasta el día 26 de junio de 2018 (fuera de los tres días que establece la normativa procesal), presentando los escritos de oposición a la ejecución en fecha 10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66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enero de 2020 la Sección Segunda de este Tribunal acordó admitir a trámite el recurso de amparo y dirigir comunicación al Juzgado de Primera Instancia e Instrucción núm. 5 de Lorca, a fin de que, en plazo que no exceda de diez días, remitiera certificación o fotocopia adverada de las actuaciones correspondientes a los autos de ejecución hipotecaria y emplazara por el mismo plazo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3 de febrero de 2020 la parte demandante formuló sus alegaciones, reiterando lo expuesto en el otrosí de su demanda y trascribiendo como fundamento de su pretensión lo expresado en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10 de febrero de 2020, el ministerio fiscal se opuso a la pretendida suspensión del procedimiento de ejecución hipotecaria, e interesó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la petición del demandante no parece muy fundada, sostiene que acordar la suspensión comportaría la paralización del procedimiento ejecutivo, que por su propia naturaleza goza de las características de celeridad y sumariedad. Considera mucho más eficaz la anotación preventiva de la demanda en el registro de la propiedad, pues a través de dicha medida cautelar es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291-2018,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FJ 1; 147/2017, de 13 de noviembre, FJ 1, y 177/2019,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282/2014, de 17 de noviembre, FJ 4,;59/2015, de 16 de marzo, FJ 2, y 177/2019,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148/2019, 155/2019 y 156/2019, de 25 de noviembre, FFJJ 3; y 170/2019, 171/2019, 173/2019, 174/2019 y 177/2019 de 16 de diciembre, FFJJ 3),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al solicitarse el amparo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 Esta misma ha sido la solución acogida recientemente, entre otros, en los AATC 148/2019, 155/2019 y 156/2019, FFJJ 3 y 170/2019, 171/2019, 173/2019, 174/2019 y 177/2019, FFJJ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hicimos en el fundamento tercero de los mencionados autos,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291-2018,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