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febrero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6079-2019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6079-2019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284-2018 seguido en el Juzgado de Primera Instancia e Instrucción núm. 5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25 de octubre de 2019, tuvo entrada en el registro general de este Tribunal Constitucional un escrito de la procuradora doña Blanca Berriatua Horta, en representación de la entidad Euroinversiones Inmobiliaria Costa Sur, S.L., por el que interpuso recurso de amparo contra el auto de 21 de septiembre de 2018 del Juzgado de Primera Instancia e Instrucción núm. 5 de Lorca, que inadmitió el escrito de oposición a la ejecución hipotecaria promovida por Banco de Sabadell, S.A., y contra el auto del mismo juzgado, de 10 de septiembre de 2019, que desestimó el recurso de reposición interpuesto contra la anterior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21 de septiembre de 2018, el juzgado de primera instancia e instrucción ya indicado dictó un auto en el procedimiento de ejecución hipotecaria núm. 284-2018 por el que acordó: “Inadmitir a trámite la oposición formulada por la parte ejecutada Euro Inversiones Inmobiliarias Costa Sur, S.L. […] por estar presentada fuera de plazo”, advirtiendo en pie de recurso que contra dicha resolución cabía recurso de reposición.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basó su decisión, conforme a su fundamento de derecho único, en lo siguiente: “Se establece en el artículo 134 de la L.E.C., la improrrogabilidad de los plazos establecidos en la misma, y en el artículo 136 LEC, que transcurrido o pasado el término señalado para la realización de un acto procesal de parte se producirá la preclusión y se perderá la oportunidad de realizar el acto de que se trate.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Establece el artículo 695 LEC, que la parte ejecutada pueda oponerse al despacho de ejecución en los términos previstos en dicho artículo y en el plazo de diez días a contar desde el siguiente a la notificación del auto y del decreto. Constando en el presente supuesto que la parte ejecutada se ha opuesto una vez transcurrido el plazo que legalmente se le otorga, debe ser inadmitida su oposición por extemporánea, de conformidad con lo establecido en los preceptos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Formalizado contra dicho auto recurso de reposición por la entidad aquí demandante de amparo, el juzgado a quo dictó auto el 10 de septiembre de 2019 desestimándolo, con confirmación de la resolución recurrida, en virtud de los motivos expresados en su razonamiento jurídico segundo: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siendo indiscutible la condición de personas jurídicas de las recurrentes, las mismas desde el 1 de enero de 2017 (disposición transitoria cuarta de la Ley 42/2015, de 5 de octubre, de reforma de la Ley de enjuiciamiento civil) están obligadas a relacionarse con la administración de justicia por medios electrónicos [art. 14.2 a) de la Ley 39/2015 del procedimiento administrativo común de las administraciones públicas y art. 273.3 a)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afirmar que “[i]nterpretan las recurrentes de forma errónea la normativa aplicable”, con cita de los arts. 162.2 LEC, 33.2 y 34 de la Ley 18/2011, de 5 de julio, reguladora del uso de las tecnologías de la información y comunicación en la administración de justicia, y el art. 11.2 del Real Decreto 1065/2015, de 27 de noviembre, sobre comunicaciones electrónicas en la administración de justicia y en el ámbito territorial del Ministerio de Justicia y por el que se regula el sistema lexnet; y referirse al acuerdo no jurisdiccional del Pleno de la Sala Cuarta del Tribunal Supremo de 6 de julio de 2016, acerca del cómputo del plazo de tres días del art. 162.2 LEC, así como a un informe del Colegio de Registradores de la Propiedad en relación con las notificaciones electrónicas, el juzgado señala: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consta que la notificación se puso a disposición de las recurrentes en fecha 9 de mayo de 2018 no accediendo al contenido hasta el día 24 de junio de 2018 (fuera de los diez días que establece la normativa procesal), presentando los escritos de oposición a la ejecución en fecha 9 de julio de 2018 claramente fuera del plazo legalmente establecido en el art. 556.1 LEC (dentro de los 10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traía el siguiente pie de recurso: “Notifíquese esta resolución a las partes personadas, haciéndoles saber que es firme, y contra la misma no cabe recurso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las resoluciones judiciales impugnadas causan la vulneración de los derechos a la tutela judicial efectiva (art. 24.1 CE) y a un proceso con todas las garantías (art. 24.2 CE) de la entidad recurrente, al haberse efectuado su emplazamiento como ejecutada en el procedimiento hipotecario de referencia, a través de un correo electrónico remitido por un servicio de notificaciones electrónicas, tratándose de su primer emplazamiento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reconoce que si bien la recurrente, por ser una persona jurídica, viene por ello obligada a relacionarse con la administración de justicia a través de medios electrónicos, no obstante cuando es el primer emplazamiento y por tanto todavía aquella “no ha tenido ninguna relación con el juzgado correspondiente en este especial y concreto procedimiento”, ha de practicarse mediante cédula con entrega en papel de la documentación correspondiente, conforme establece el art. 273 LEC, en relación con los arts. 135, 152, 155 y 162 de la misma ley. Este último, precisa, “es categórico al respecto ya que en su punto primero nos indica que cuando las partes no actúen representadas por procurador o se trate del primer emplazamiento o citación al demandado, los actos de comunicación se harán por remisión al domicilio de los litigantes”. Añade que incluso la notificación realizada tampoco cumple con las formalidades de las comunicaciones electrónicas. Pese a todo esto, el auto dictado por el juzgado el 21 de septiembre de 2018 declaró extemporánea la presentación del escrito de oposición, computando el plazo de diez días desde la fecha de envío de aquel correo a través de la dirección electrónica habilitada.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es importante hacer mención a la “recientísima sentencia del Tribunal Constitucional STC 47/2019, de 8 de abril de 2019, que no solo confirma todo lo dicho hasta ahora en el presente recurso de amparo, sino que lo refuerza, en el sentido de que en modo alguno debe entenderse que, tratándose del emplazamiento, este no se efectúe en el domicilio como impone el artículo 155.1 de la Ley de enjuiciamiento civil”, sin que a ello obste la argumentación dada por el auto que inadmite la oposición; pasando a reproducir pasajes de los fundamentos jurídicos 2 a 5 de dicha STC 47/2019.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el auto de 10 de septiembre de 2019 que desestimó la reposición, se rechaza por la recurrente que los preceptos citados por el juzgado fundamenten su decisión, en cuanto “no es menos cierto que, en ningún precepto de la Ley de enjuiciamiento civil se diga que al proceso civil se le aplican las normas del proceso administrativo, ni existe ningún precepto en ninguna otra norma que otorgue a la normativa del proceso administrativo el mismo rango o aplicabilidad que puedan tener la norma procesal civil, la penal, la contencioso-administrativa o la social, que disponen de regulación específica a través de normas concretas, puesto que, mientras la administrativa regula un tipo de procedimiento específico, las otras hacen referencia a procesos que se plantean ante tribunales de justicia, que aunque forman parte de la ‘administración’, tienen su normativa específica”.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se solicita que este Tribunal Constitucional, con estimación del amparo, acuerde la nulidad de ambas resoluciones judiciales y ordene reponer las actuaciones al momento previo al dictado de la primera de aquellas, a fin de que el juzgado a quo admita a trámite la oposición al despacho de ejecución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un segundo otrosí digo, el escrito de demanda argumentó “que la continuación de la ejecución derivadas [sic] de los pronunciamientos judiciales que han sido objeto de impugnación, con la celebración de subasta y la eventual adjudicación a terceros, pueden hacer perder al recurso de amparo su finalidad, por lo que solicito la suspensión de la continuación del procedimiento de ejecución hipotecaria 284-2018 seguido ante el Juzgado de Primera Instancia e Instrucción núm. 5 de Lorca, hasta tanto sea resuelto el presente recurso de amparo, poniéndolo en conocimiento del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Secretaría de Justicia de la Sección Cuarta, Sala Segunda, de este Tribunal Constitucional, dictó diligencia de ordenación el 30 de octubre de 2019 solicitando al juzgado a quo la remisión de certificación o fotocopia adverada de las actuaciones correspondientes del procedimiento de ejecución hipotecaria núm. 284-2018.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de este Tribunal dictó providencia el 27 de enero de 2020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Cuarta ha examinado el recurso de amparo y ha acordado admitirlo a trámite, apreciando que concurre en el mismo una especial trascendencia constitucional (art. 50.1 LOTC) toda vez que el recurso puede dar ocasión al Tribunal para aclarar o cambiar su doctrina, como consecuencia de cambios normativos relevantes para la configuración del contenido del derecho fundamental [STC 155/2009,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51 LOTC, obrando ya en esta Sala testimonio de las actuaciones jurisdiccionales, diríjase atenta comunicación al Juzgado de Primera Instancia e Instrucción núm. 5 de Lorca a fin de que, en plazo que no exceda de diez días, se proceda a emplazar a quienes hubieran sido parte en el procedimiento de ejecución hipotecaria número 284-2018, excepto la parte recurrente en amparo, para que en el plazo de diez días puedan comparecer, si lo desean,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Fórmese pieza separada para la sustanciación de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nueva providencia dictada por la Sección Cuarta de este Tribunal en la misma fecha de la admisión del recurso, el 27 de enero de 2020, se dispuso “formar con la precedente fotocopia, la oportuna pieza para la tramitación del incidente sobre suspensión y conforme determina el artículo 56 de la Ley Orgánica de este Tribunal, conceder un plazo común de tres días a la parte recurrente y al Ministerio Fiscal para que aleguen lo que estimen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 entidad recurrente presentó su escrito de alegaciones con fecha 5 de febrero de 2020, interesando se acceda a lo solicitado en cuanto a la suspensión del procedimiento de ejecución hipotecaria referido.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efecto alega que la continuación de tal procedimiento, “con la celebración de subasta y la eventual adjudicación a terceros harían perder al recurso de amparo su finalidad y provocarían perjuicios patrimoniales para mi representada de imposible o difícil reparación”. Invoca a su favor lo resuelto por este tribunal en su ATC 287/2013, de 16 de diciembre, reiterando a renglón seguido las vulneraciones constitucionales de fondo que aduce en su demanda, e indicando que el celebrarse la subasta y la posible adjudicación del bien inmueble a terceros de buena fe, con “desposesión del bien ejecutado, conllevaría situaciones irreversibles, con un inevitable perjuicio para mi representada”.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su parte, el fiscal ante este Tribunal Constitucional formalizó su escrito de alegaciones en esta pieza el 11 de febrero de 2020, interesando que adoptemos únicamente la medida de anotación preventiva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cita del art. 56 LOTC y doctrina general sobre la procedencia de la suspensión del acto impugnado en amparo, señala que este Tribunal ha establecido como criterio general, “que no procede suspender la ejecución de aquellos fallos judiciales que admiten la restitución íntegra de lo ejecutado (como de ordinario ocurre, aunque no sin excepciones, en las condenas de contenido patrimonial)”. Que no obstante ello, “tampoco las condenas de contenido patrimonial pueden quedar absolutamente marginadas de la posibilidad de suspenderse, habrá que valorar en estos casos, con especial énfasis que no se produzca perjuicio para el interés general, lo que normalmente no ocurrirá en los pleitos puramente civiles, y de manera más concreta que no se acabe implicando los derechos presentes o futuros de terceros que puedan acabar perjudicados”.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Aplicando la doctrina a la solicitud formulada por la recurrente, se entiende por el fiscal que la misma “no parece muy fundamentada […] ya que se limita a la mera petición sin explicitar ninguna razón salvo la mera pérdida de finalidad del recurso en el caso de que llegara a celebrarse la subasta de los bienes inmuebles en conflicto y su adjudicación a un tercero que actuaría de buena fe. Acordar la suspensión solicitada comportaría la drástica medida que supondría la paralización del procedimiento ejecutivo, que por su propia naturaleza goza de las características de celeridad y sumariedad. Mucho más eficaz para conseguir el efecto protector deseado por la recurrente sería la anotación preventiva de la demanda de amparo en el Registro de la Propiedad, ya que de esta manera se daría publicidad frente a terceros de la pendencia del recurso, lo que conlleva el conocimiento de los efectos que sobre la titularidad de la vivienda puede tener el otorgamiento del amparo en su caso, evitando que el hipotético tercero adquirente quede especialmente protegido por su buena fe en la adquisición”.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no tiene dudas de que este Tribunal puede acordar dicha medida, ex art. 56.3 LOTC, conforme tiene establecido nuestra doctrina, con cita del ATC 95/2015, de 25 de mayo, FJ 4. Entiende que “nos encontramos en uno de esos supuestos en que tratándose de un [sic] resolución de carácter patrimonial, no obstante puede acabar afectando a derechos futuros de terceros adquirentes de buena fe, por lo que de acuerdo con la doctrina de este Tribunal, sería procedente la anotación preventiva de la demanda, que haría que lo que consta en el registro de la propiedad fuera fiel reflejo de la realidad, evitando situaciones cuya reversibilidad deviniera poco menos que imposible”.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284-2018 seguido en el Juzgado de Primera Instancia e Instrucción núm. 5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el carácter no reparable o la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25 de febrero, FJ 2; 74/2013, de 8 de abril, FJ 2; 152/2013, de 8 de julio, FJ 2; 37/2014, de 10 de febrero, FJ 2; 282/2014, de 17 de noviembre, FJ 3,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aquellos,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de la que se ha hecho mención permite concluir, de acuerdo con el fiscal, que resulta improcedente la suspensión solicitada y, por el contrario, aparece como medida idónea la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dicha entidad mercantil, como tampoco sobre las características, destino y estado posesorio del inmueble hipotecado. En tales circunstancias, no es posible afirmar que la continuación del curso del procedimiento judicial, incluso con un desplazamiento posesorio, provoque por sí solo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hiciera irreivindicable; situación a la que se hace referencia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106/2017, de 17 de julio, FJ 3; 88/2018, de 17 de septiembre, FJ 5, y 2/2019, de 9 de enero, FJ 4; así como en el ATC 85/2019, de 15 de julio, donde se plantearon los mismos argumentos que aquí para solicitar la suspensión por la otra entidad ejecutada.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y que, de acuerdo con el ATC 95/2015, de 25 de mayo,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Nuestra decisión en esta materia se limita, en tal sentido,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 [AATC 21/2018, de 5 de marzo, FJ 5, y 88/2018, de 17 de septiembre,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 en relación con el presente recurso de amparo instado por la entidad Euro Inversiones Inmobiliarias Costa Sur, S.L.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284-2018 seguido en el Juzgado de Primera Instancia e Instrucción núm. 5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febrero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