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6079-2019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6079-2019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284-2018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25 de octubre de 2019, tuvo entrada en el registro general de este Tribunal Constitucional un escrito de la procuradora doña Blanca Berriatua Horta, en representación de la entidad Euroinversiones Inmobiliaria Costa Sur, S.L., por el que interpuso recurso de amparo contra el auto de 21 de septiembre de 2018 del Juzgado de Primera Instancia e Instrucción núm. 5 de Lorca, que inadmitió el escrito de oposición a la ejecución hipotecaria promovida por Banco de Sabadell, S.A., y contra el auto del mismo juzgado, de 10 de septiembre de 2019, que desestimó el recurso de reposición interpuesto contra la anterior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21 de septiembre de 2018, el juzgado de primera instancia e instrucción ya indicado dictó un auto en el procedimiento de ejecución hipotecaria núm. 284-2018 por el que acordó: “Inadmitir a trámite la oposición formulada por la parte ejecutada Euro Inversiones Inmobiliarias Costa Sur, S.L. […] por estar presentada fuera de plazo”, advirtiendo en pie de recurso que contra dicha resolución cabía recurso de reposición.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basó su decisión, conforme a su fundamento de derecho único, en lo siguiente: “Se establece en el artículo 134 de la L.E.C., la improrrogabilidad de los plazos establecidos en la misma, y en el artículo 136 LEC, que transcurrido o pasado el término señalado para la realización de un acto procesal de parte se producirá la preclusión y se perderá la oportunidad de realizar el acto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Establece el artículo 695 LEC, que la parte ejecutada pueda oponerse al despacho de ejecución en los términos previstos en dicho artículo y en el plazo de diez días a contar desde el siguiente a la notificación del auto y del decreto. Constando en el presente supuesto que la parte ejecutada se ha opuesto una vez transcurrido el plazo que legalmente se le otorga, debe ser inadmitida su oposición por extemporánea, de conformidad con lo establecido en los preceptos citados”.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Formalizado contra dicho auto recurso de reposición por la entidad aquí demandante de amparo, el juzgado a quo dictó auto el 10 de septiembre de 2019 desestimándolo, con confirmación de la resolución recurrida, en virtud de los motivos expresados en su razonamiento jurídico segundo: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siendo indiscutible la condición de personas jurídicas de las recurrentes, las mismas desde el 1 de enero de 2017 (disposición transitoria cuarta de la Ley 42/2015, de 5 de octubre, de reforma de la Ley de enjuiciamiento civil) están obligadas a relacionarse con la administración de justicia por medios electrónicos [art. 14.2 a) de la Ley 39/2015 del procedimiento administrativo común de las administraciones públicas y art. 273.3 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afirmar que “[i]nterpretan las recurrentes de forma errónea la normativa aplicable”, con cita de los arts. 162.2 LEC, 33.2 y 34 de la Ley 18/2011, de 5 de julio, reguladora del uso de las tecnologías de la información y comunicación en la administración de justicia, y el art. 11.2 del Real Decreto 1065/2015, de 27 de noviembre, sobre comunicaciones electrónicas en la administración de justicia y en el ámbito territorial del Ministerio de Justicia y por el que se regula el sistema lexnet; y referirse al acuerdo no jurisdiccional del Pleno de la Sala Cuarta del Tribunal Supremo de 6 de julio de 2016, acerca del cómputo del plazo de tres días del art. 162.2 LEC, así como a un informe del Colegio de Registradores de la Propiedad en relación con las notificaciones electrónicas, el juzgado señala: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consta que la notificación se puso a disposición de las recurrentes en fecha 9 de mayo de 2018 no accediendo al contenido hasta el día 24 de junio de 2018 (fuera de los diez días que establece la normativa procesal), presentando los escritos de oposición a la ejecución en fecha 9 de julio de 2018 claramente fuera del plazo legalmente establecido en el art. 556.1 LEC (dentro de los 10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traía el siguiente pie de recurso: “Notifíquese esta resolución a las partes personadas, haciéndoles saber que es firme, y contra la misma no cabe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causan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tratándose de su primer emplazamiento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reconoce que si bien la recurrente, por ser una persona jurídica, viene por ello obligada a relacionarse con la administración de justicia a través de medios electrónicos, no obstante cuando es el primer emplazamiento y por tanto todavía aquella “no ha tenido ninguna relación con el juzgado correspondiente en este especial y concreto procedimiento”, ha de practicarse mediante cédula con entrega en papel de la documentación correspondiente, conforme establece el art. 273 LEC, en relación con los arts. 135, 152, 155 y 162 de la misma ley. Este último, precisa, “es categórico al respecto ya que en su punto primero nos indica que cuando las partes no actúen representadas por procurador o se trate del primer emplazamiento o citación al demandado, los actos de comunicación se harán por remisión al domicilio de los litigantes”. Añade que incluso la notificación realizada tampoco cumple con las formalidades de las comunicaciones electrónicas. Pese a todo esto, el auto dictado por el juzgado el 21 de septiembre de 2018 declaró extemporánea la presentación del escrito de oposición, computando el plazo de diez días desde la fecha de envío de aquel correo a través de la dirección electrónica habilitada.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es importante hacer mención a la “recientísima sentencia del Tribunal Constitucional STC 47/2019, de 8 de abril de 2019, que no solo confirma todo lo dicho hasta ahora en el presente recurso de amparo, sino que lo refuerza, en el sentido de que en modo alguno debe entenderse que, tratándose del emplazamiento, este no se efectúe en el domicilio como impone el artículo 155.1 de la Ley de enjuiciamiento civil”, sin que a ello obste la argumentación dada por el auto que inadmite la oposición; pasando a reproducir pasajes de los fundamentos jurídicos 2 a 5 de dicha STC 47/2019.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el auto de 10 de septiembre de 2019 que desestimó la reposición, se rechaza por la recurrente que los preceptos citados por el juzgado fundamenten su decisión, en cuanto “no es menos cierto que, en ningún precepto de la Ley de enjuiciamiento civil se diga que al proceso civil se le aplican las normas del proceso administrativo, ni existe ningún precepto en ninguna otra norma que otorgue a la normativa del proceso administrativo el mismo rango o aplicabilidad que puedan tener la norma procesal civil, la penal, la contencioso-administrativa o la social, que disponen de regulación específica a través de normas concretas, puesto que, mientras la administrativa regula un tipo de procedimiento específico, las otras hacen referencia a procesos que se plantean ante tribunales de justicia, que aunque forman parte de la ‘administración’, tienen su normativa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 solicita que este Tribunal Constitucional, con estimación del amparo, acuerde la nulidad de ambas resoluciones judiciales y ordene reponer las actuaciones al momento previo al dictado de la primera de aquellas, a fin de que el juzgado a quo admita a trámite la oposición al despacho de ejecución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derivadas [sic] de los pronunciamientos judiciales que han sido objeto de impugnación, con la celebración de subasta y la eventual adjudicación a terceros, pueden hacer perder al recurso de amparo su finalidad, por lo que solicito la suspensión de la continuación del procedimiento de ejecución hipotecaria 284-2018 seguido ante el Juzgado de Primera Instancia e Instrucción núm. 5 de Lorca, hasta tanto sea resuelto el presente recurso de amparo, poniéndolo en conocimiento del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Secretaría de Justicia de la Sección Cuarta, Sala Segunda, de este Tribunal Constitucional, dictó diligencia de ordenación el 30 de octubre de 2019 solicitando al juzgado a quo la remisión de certificación o fotocopia adverada de las actuaciones correspondientes del procedimiento de ejecución hipotecaria núm. 284-2018.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 este Tribunal dictó providencia el 27 de enero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Cuarta ha examinado el recurso de amparo y ha acordado admitirlo a trámite, apreciando que concurre en el mismo una especial trascendencia constitucional (art. 50.1 LOTC) toda vez que el recurso puede dar ocasión al Tribunal para aclarar o cambiar su doctrina, como consecuencia de cambios normativos relevantes para la configuración del contenido del derecho fundamental [STC 155/2009, FJ 2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 51 LOTC, obrando ya en esta Sala testimonio de las actuaciones jurisdiccionales, diríjase atenta comunicación al Juzgado de Primera Instancia e Instrucción núm. 5 de Lorca a fin de que, en plazo que no exceda de diez días, se proceda a emplazar a quienes hubieran sido parte en el procedimiento de ejecución hipotecaria número 284-2018, excepto la parte recurrente en amparo, para que en el plazo de diez días puedan comparecer, si lo desean,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Fórmese pieza separada para la sustanciación de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dictada por la Sección Cuarta de este Tribunal en la misma fecha de la admisión del recurso, el 27 de enero de 2020, se dispuso “formar con la precedente fotocopia, la oportuna pieza para la tramitación del incidente sobre suspensión y conforme determina el artículo 56 de la Ley Orgánica de este Tribunal, conceder un plazo común de tres días a la parte recurrente y al Ministerio Fiscal para que aleguen lo que estimen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recurrente presentó su escrito de alegaciones con fecha 5 de febrero de 2020, interesando se acceda a lo solicitado en cuanto a la suspensión del procedimiento de ejecución hipotecaria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alega que la continuación de tal procedimiento, “con la celebración de subasta y la eventual adjudicación a terceros harían perder al recurso de amparo su finalidad y provocarían perjuicios patrimoniales para mi representada de imposible o difícil reparación”. Invoca a su favor lo resuelto por este tribunal en su ATC 287/2013, de 16 de diciembre, reiterando a renglón seguido las vulneraciones constitucionales de fondo que aduce en su demanda, e indicando que el celebrarse la subasta y la posible adjudicación del bien inmueble a terceros de buena fe, con “desposesión del bien ejecutado, conllevaría situaciones irreversibles, con un inevitable perjuicio para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fiscal ante este Tribunal Constitucional formalizó su escrito de alegaciones en esta pieza el 11 de febrero de 2020, interesando que adoptemos únicamente la medida de anotación preventiva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cita del art. 56 LOTC y doctrina general sobre la procedencia de la suspensión del acto impugnado en amparo, señala que este Tribunal ha establecido como criterio general, “que no procede suspender la ejecución de aquellos fallos judiciales que admiten la restitución íntegra de lo ejecutado (como de ordinario ocurre, aunque no sin excepciones, en las condenas de contenido patrimonial)”. Que no obstante ello, “tampoco las condenas de contenido patrimonial pueden quedar absolutamente marginadas de la posibilidad de suspenderse, habrá que valorar en estos casos, con especial énfasis que no se produzca perjuicio para el interés general, lo que normalmente no ocurrirá en los pleitos puramente civiles, y de manera más concreta que no se acabe implicando los derechos presentes o futuros de terceros que puedan acabar perjudicados”.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la doctrina a la solicitud formulada por la recurrente, se entiende por el fiscal que la misma “no parece muy fundamentada […] ya que se limita a la mera petición sin explicitar ninguna razón salvo la mera pérdida de finalidad del recurso en el caso de que llegara a celebrarse la subasta de los bienes inmuebles en conflicto y su adjudicación a un tercero que actuaría de buena fe. Acordar la suspensión solicitada comportaría la drástica medida que supondría la paralización del procedimiento ejecutivo, que por su propia naturaleza goza de las características de celeridad y sumariedad. Mucho más eficaz para conseguir el efecto protector deseado por la recurrente sería la anotación preventiva de la demanda de amparo en el Registro de la Propiedad, ya que de esta manera se daría publicidad frente a terceros de la pendencia del recurso, lo que conlleva el conocimiento de los efectos que sobre la titularidad de la vivienda puede tener el otorgamiento del amparo en su caso, evitando que el hipotético tercero adquirente quede especialmente protegido por su buena fe en la adquisición”.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no tiene dudas de que este Tribunal puede acordar dicha medida, ex art. 56.3 LOTC, conforme tiene establecido nuestra doctrina, con cita del ATC 95/2015, de 25 de mayo, FJ 4. Entiende que “nos encontramos en uno de esos supuestos en que tratándose de un [sic] resolución de carácter patrimonial, no obstante puede acabar afectando a derechos futuros de terceros adquirentes de buena fe, por lo que de acuerdo con la doctrina de este Tribunal, sería procedente la anotación preventiva de la demanda, que haría que lo que consta en el registro de la propiedad fuera fiel reflejo de la realidad, evitando situaciones cuya reversibilidad deviniera poco menos que imposible”.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284-2018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el carácter no 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25 de febrero, FJ 2; 74/2013, de 8 de abril, FJ 2; 152/2013, de 8 de julio, FJ 2; 37/2014, de 10 de febrero, FJ 2; 282/2014, de 17 de noviembre, FJ 3,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aquí planteado de la doctrina de la que se ha hecho mención permite concluir, de acuerdo con el fiscal, que resulta improcedente la suspensión solicitada y, por el contrario, aparece como medida idónea la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dicha entidad mercantil, como tampoco sobre las características, destino y estado posesorio del inmueble hipotecado. En tales circunstancias, no es posible afirmar que la continuación del curso del procedimiento judicial, incluso con un desplazamiento posesorio, provoque por sí solo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hiciera irreivindicable; situación a la que se hace referencia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FJ 3; 88/2018, de 17 de septiembre, FJ 5, y 2/2019, de 9 de enero, FJ 4; así como en el ATC 85/2019, de 15 de julio, donde se plantearon los mismos argumentos que aquí para solicitar la suspensión por la otra entidad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se limita, en tal sentido, “a ordenar que se practique la anotación preventiva, remitiendo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 [AATC 21/2018, de 5 de marzo, FJ 5, y 88/2018, de 17 de septiembre,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 en relación con el presente recurso de amparo instado por la entidad Euro Inversiones Inmobiliarias Costa Sur, S.L.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284-2018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