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60-2018, seguido en el Juzgado de Primera Instancia e Instrucción núm. 6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20 de mayo de 2019, la entidad Euroinversiones Inmobiliarias Costa Sur, S.L., representada por la procuradora de los tribunales doña Blanca Berriatua Horta y bajo la dirección del letrado don Marcelino Gilabert García, interpuso recurso de amparo contra los autos de 17 de septiembre de 2018 y 4 de abril de 2019, dictados en el procedimiento de ejecución hipotecaria núm. 60-2018, por el Juzgado de Primera Instancia e Instrucción núm. 6 de Lorca, por los que, respectivamente, se inadmitió por extemporánea la demanda de oposición formulada y se confirmó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60-2018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núm. 43.319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29 de mayo de 2018 se acordó despachar ejecución frente las sociedades demandadas por la cantidad de 155.233 € de principal e intereses ya vencidos, y 24.040 € más como intereses y costas presupuestados. El citado auto y el decreto de la misma fecha que le sigue fueron comunicados a las citadas sociedades a través de la sede judicial electrónica el día 30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27 de julio de 2018. Por auto de 17 de septiembre siguiente se acordó su inadmisión por considerar la pretensión extemporánea, tomando como fecha de notificación el 30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la vulneración del art. 24 de la Constitución, en el que discutía la fecha de notificación del auto que despachó la ejecución y, por ello, la de vencimiento del plazo para formalizar la oposición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4 de abril de 2019. Según esta resolución, la recurrente tiene la condición de persona jurídica, por lo que desde el 1 de enero de 2017 está legalmente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intérprete, obligándole a promover la defensa mediante la correspondiente contradicción, tal y como reconoce la sentencia 37/1984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febrero de 2020, la Sección Primera de este Tribunal acordó admitir a trámite el recurso de amparo y dirigir comunicación al Juzgado de Primera Instancia e Instrucción núm. 6 de Lorca, a fin de que, en plazo que no excediera de diez días procediera a emplazar a quienes hubieran sido parte en el proceso judicial del que trae causa el presente recurso de amparo, para que en igual plazo puedan comparecer, si lo desean, en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14 de febrero de 2020, la parte demandante formuló sus alegaciones, reiterando lo expuesto en el otrosí de su demanda y transcribiendo como fundamento de su pretensión lo expresado, en parte, en 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escrito registrado el 24 de febrero de 2020, el ministerio fiscal se opuso a la pretendida suspensión del procedimiento de ejecución hipotecaria, interesando que, alternativamente, se acuerde la anotación preventiva de la demanda de amparo en el registro de la propiedad, aunque esta última medida cautelar no haya sido solicitada en el recurso. Tras exponer la doctrina de este Tribunal sobre suspensión de resoluciones y actos impugnados, aduce que en el presente caso el demandante no explicita razón alguna que permita afirmar que la continuación del procedimiento judicial, incluso con desplazamiento posesorio, provoque un perjuicio determinante de la pérdida de finalidad del recurso de amparo. Por contra, considera más eficaz la anotación preventiva de la demanda en el registro de la propiedad, pues a través de dicha medida cautelar ya que de esta manera se daría publicidad frente a terceros de la pendencia del recurso de amparo, lo que hace posible evitar que un hipotético tercer adquirente del inmueble hipotecado, en virtud de su buena fe registral, quede especialmente protegido, perjudicando así los intereses concernidos.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de la suspensión cautelar instada por la parte recurrente en amparo y dirigida frente al procedimiento de ejecución hipotecaria núm. 60-2018, seguido en el Juzgado de Primera Instancia e Instrucción núm. 6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a la que se ha hecho mención permite concluir, de acuerdo con lo solicitado por el ministerio fiscal, que resulta improcedente la suspensión solicitada del procedimiento de ejecución hipotecaria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igual que en procesos de amparo precedentes (AATC 81/2019, de 15 de julio; 4/2020, 5/2020, 6/2020 y 8/2020, de 27 de enero),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si se produjera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como se anticipó, se reputa medida suficiente e idónea para evitar el perjuicio derivado de que la adquisición del bien por tercero lo haga irreivindicable. Esta misma ha sido la solución acogida recientemente, entre otras, en las resoluciones sobre medidas cautelares que han sido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60-2018, seguido en el Juzgado de Primera Instancia e Instrucción núm. 6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