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y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3094-2019, promovido por la sociedad Penrei Inversiones, S.L., representada por la procuradora de los tribunales doña Blanca Berriatua Horta y bajo la dirección de la letrada doña Anju Nirmala Benavent Rodríguez, contra el auto de 17 de septiembre de 2018 dictado por el Juzgado de Primera Instancia e Instrucción núm. 6 de Lorca en el procedimiento de ejecución hipotecaria núm. 60-2018, y contra el auto del mismo juzgado, de 4 de abril de 2019, que desestimó el recurso de reposición interpuesto contra la anterior resolución. Ha sido parte la entidad Pera Assets Designated Activity Company, representada por la procuradora doña Blanca María Grande Pesquero y defendida por el letrado don Alejandro Ingram Solís.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mayo de 2019, la entidad Penrei Inversiones, S.L., representada por la procuradora de los tribunales doña Blanca Berriatua Horta y bajo la dirección de la letrada doña Anju Nirmala Benavent Rodríguez, interpuso recurso de amparo contra las resoluciones reseñadas en el encabezamiento, dictadas por el Juzgado de Primera Instancia e Instrucción núm. 6 de Lorca, que acordaron por extemporánea la inadmisión de la oposición a la ejecución hipotecaria despachada, y la desestimación del recurso de reposición interpuesto frente a dicha decisión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antecedentes fácticos y procesales relevantes para la resolución del recurso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6 de Lorca se sigue procedimiento de ejecución hipotecaria núm. 60-2018 promovido por la entidad Banco de Sabadell, S.A., frente a las sociedades Euroinversiones Inmobiliarias Costa Sur, S.L., en calidad de prestataria e hipotecante, y Penrei Inversiones, S.L., en calidad de titular registral de un derecho de uso y disfrute sobre el inmueble hipotecado (finca de Lorca, Murcia, sección 1, núm. 43319, calle Eras de San José, escalera 3, planta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29 de mayo de 2018 se acordó despachar ejecución frente las sociedades demandadas. El citado auto y el decreto de la misma fecha que le sigue, acordando las medidas de ejecución y el requerimiento de pago al ejecutado, fueron comunicados a las citadas entidades a través de la sede judicial electrónica el día 30 de mayo de 2018; fecha en la que recibió en su dirección electrónica habilitada un mensaje del servicio de notificaciones electrónicas de la Fábrica Nacional de Moneda y Timbre avisándole de que hasta el 15 de julio de 2018 tendría disponible una notificación del juzgado de Lorca relacionada con el procedimiento EHJ 060-2018, a la que, para que constase como leída, debía acceder a través de un enlace adjunto (http://notificaciones.060.es). La ejecutada accedió a dicho enlace el 15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Penrei Inversiones, S.L., presentó el 24 de julio de 2018 escrito de oposición a la ejecución despachada. Por auto de 17 de septiembre de 2018, el órgano judicial acordó la inadmisión de la oposición formulada por entender extemporánea su presentación, tras tomar como fecha de emplazamiento el 30 de mayo de 2018. Al pie de dicho auto figuraba la indicación de que podía impugnarse en el plazo de cinco días por medio de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mercantil recurrente interpuso recurso de reposición contra el auto de inadmisión. En síntesis, alegó que las actuaciones de notificación y requerimiento no habían de entenderse realizadas el día 30 de mayo de 2018, sino el 15 de julio siguiente, y que la comunicación remitida a través de la dirección electrónica habilitada no constituye sino un aviso de puesta a disposición para descarga de su contenido durante un plazo determinado (en este caso desde el 30 de mayo hasta el 15 de julio de 2018). Adujo que, entenderlo de otro modo, además de infringir los arts. 135, 152, 160 y 162 de la Ley de enjuiciamiento civil (LEC), vulneraría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el recurso fue desestimado por auto de 4 de abril de 2019. Según esta resolución, las entidades ejecutadas tienen la condición de persona jurídica y, por tanto, están obligadas a relacionarse con la administración de justicia por medios electrónicos, de conformidad con lo previsto en la disposición transitoria cuarta de la Ley 42/2015, de 5 de octubre, de reforma de la Ley de enjuiciamiento civil, así como en los arts. 14.2 a) de la Ley 39/2015 de procedimiento administrativo común de las administraciones públicas y 273.3 LEC. Según el auto, la dicción del art. 162.2 LEC impone que ha de entenderse que la comunicación electrónica surte efecto trascurridos tres días desde que fue efectuada sin que el destinatario acceda a su contenido. Concluye que “en el presente caso, consta que la notificación se puso a disposición de las recurrentes en fecha 30 de mayo de 2018 no accediendo al contenido hasta el día 15 de julio de 2018 (fuera de los tres días que establece la normativa procesal), presentando los escritos de oposición a la ejecución en fecha 24 de julio de 2018, claramente fuera del plazo legalmente establecido en el art. 556.1 LEC (más allá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afirma en su demanda de amparo que las resoluciones judiciales impugnadas han vulnerado su derecho a la tutela judicial efectiva sin indefensión (art. 24.1 CE), impidiéndole de forma indebida acceder en tiempo y oponerse en el proceso de ejecución hipotecaria seguido en su contra. A tal fin, aduce que se limitó a seguir la literalidad de las instrucciones contenidas en el correo electrónico recibido procedente del servicio de notificaciones electrónicas, y accedió al contenido de la notificación judicial dentro del plazo establecido en el mismo. El citado mensaje electrónico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recibido una Notificación del órgano emisor Juzgados y Tribunales (SGAJ) en la Dirección Electrónica Habilitada del titular Penrei Inversiones S.L.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estará disponible en su Dirección Electrónica Habilitada única desde el 30-05-2018 hasta el 15-07-2018.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conste como leída, por favor acceda a http://notificaciones060.es. Asunto: JDO. 1 INST. E INSTR. N 6 DE LORCA EHJ/00000060/2018”.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interprete, obligándole a promover la defensa mediante la correspondiente contradicción, tal y como reconoce la STC 37/1984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—por medio de otrosí— se solicitó la suspensión del procedimiento de ejecución hipotecaria alegando que la continuación de la ejecución “con la celebración de subasta y la eventual adjudicación a terceros, pueden hacer perder al recurso de amparo su finalidad”. Tramitada la petición de suspensión, fue resuelta por ATC 130/2019, de 28 de octubre por el que, tras desestimarla, se acordó cautelarmente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fecha 3 de julio de 2019 del secretario de justicia de la Sección Primera de este tribunal, se acordó requerir al Juzgado de Primera Instancia e Instrucción núm. 6 de Lorca a fin de que remitiera certificación acreditativa de la interposición o no de recurso de apelación contra el auto de 4 de abril de 2019, por el que se resolvió el recurso de reposición presentado para el caso de que, de haber sido presentado y haber recaído resolución, se certificara sobre su contenido. El 19 de julio de 2019 se recibió certificación del letrado de la administración de justicia indicativa de que no fue presentado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30 de septiembre de 2019 la Sección Primera de este tribunal acordó admitir a trámite el recurso de amparo apreciando que concurre en el mismo una especial trascendencia constitucional [art. 50.1 de la Ley Orgánica del Tribunal Constitucional (LOTC)] porque plantea “un problema o afecta a una faceta de un derecho fundamental sobre el que no hay doctrina de este tribunal [STC 155/2009, FJ 2, a)]”. De conformidad con lo dispuesto en el art. 51 de nuestra Ley Orgánica reguladora (LOTC), se acordó dirigir comunicación al Juzgado de Primera Instancia e Instrucción núm. 6 de Lorca, a fin de que, en el plazo de diez días, remitiera certificación o fotocopia adverada de las actuaciones correspondientes a los autos de ejecución hipotecaria núm. 60-2018 y emplazara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16 de octubre de 2019, la procuradora de los tribunales doña Blanca María Grande Pesquero, actuando en nombre y representación de la entidad Pera Assets Designated Activity Company,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6 de Lorca para comparecer ante este Tribunal,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diligencia de ordenación de 30 de octubre de 2019, la Secretaría de Justicia de la Sala Primera de este tribunal tuvo por personada y parte a la procuradora doña Blanca María Grande Pesquero en la representación acreditada y, asimismo, acordó dar vista de las actuaciones a las partes personadas y al Ministerio Fiscal, por plazo común de veinte días, a fin de que, conforme con lo previsto en el art. 52 LOTC,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 de diciembre de 2019 la representante procesal de la entidad Pera Assets Designated Activity Company presentó escrito oponiéndose al otorgamiento del amparo pretendido. Tras invocar los artículos 43 de la Ley de Procedimiento Administrativo Común de las Administraciones Públicas y 162.2 LEC, argumenta en los citados escritos que no se ha causado indefensión a las recurrentes, pues consta que el auto despachando ejecución se puso a disposición de las mismas en fecha 30 de mayo de 2018, presentando el escrito de oposición a la ejecución el 24 de julio siguiente, “claramente fuera del plazo legalmente establecido en el artículo 556.1 LEC (dentro de los diez días siguientes al de la notificación del auto despachando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presentó sus alegaciones el 12 de diciembre de 2019. En ellas se remite a lo expuesto en la demanda, haciendo mención adicional a los pronunciamientos de la STC 47/2019, de 8 de abril, que trascribe en parte, a propósito del uso indebido de la dirección electrónica habilitada para realizar 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enero de 2020 presentó sus alegaciones el ministerio fiscal. En ellas solicita la estimación del recurso de amparo y, en consecuencia,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en la demanda de amparo, considera que las resoluciones judiciales impugnadas vulneran el derecho a la tutela judicial efectiva sin indefensión de la demandante (art. 24.1 CE). Realiza un exhaustivo repaso por la doctrina del Tribunal Constitucional sobre los actos de comunicación procesal con expresa referencia a las SSTC 6/2019, de 17 de enero; 32/2019, de 28 de febrero, y 47/2019, de 8 de abril, de las que transcribe parte de su contenido. A continuación, se refiere los preceptos legales aplicables de la Ley de enjuiciamiento civil, tras las reformas operadas por la Ley 13/2009, de 3 de noviembre, y Ley 42/2015, de 5 de octubre; en concreto a los arts. 553, 135, 152.2, 155 y ss., y 273. Finalmente, transcribe el contenido del fundamento jurídico 4 de la citada STC 47/2019 y concluye señalando que el juzgado “erró al desconocer la aplicabilidad de los arts. 155 y 273 al caso concreto, lo cual sería disculpable si al haber optado por esa inaplicación hubiera sido para elegir otras normas que hubieren garantizado con más vehemencia el derecho a la tutela judicial efectiva sin indefensión porque esas normas aseguraran a la parte llamada al procedimiento un mejor y más seguro conocimiento de la demanda que contra él se dirigía, es decir, si hubiere optado por el mecanismo de notificación que mejor asegurara el resultado, pero es que justamente hace lo contrario, puesto que opta por dar validez a la notificación en la dirección electrónica habilitada sin tener ninguna constatación de que la misma haya llegado a su destinatario, por lo tanto no comprobó una eficaz comunicación con las partes ejecutadas y no actuó con la diligencia exigible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junio de 2020 se señaló para deliberación y votación de la presente sentencia el día 29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la entidad Penrei Inversiones, S.L., impugna el auto del Juzgado de Primera Instancia e Instrucción núm. 6 de Lorca, de 17 de septiembre de 2018, que en el procedimiento de ejecución hipotecaria núm. 60-2018 inadmitió, por extemporánea, la demanda de oposición a la ejecución formulada por dicha mercantil, y el posterior auto de 4 de abril de 2019 que desestimó el recurso de reposición interpuesto contra aquella resolución. Para el órgano judicial, el plazo que la demandada tenía para formular oposición a la ejecución ya despachada ha de computarse desde la fecha (30 de mayo de 2018) en la que recibió en su dirección electrónica habilitada una comunicación del servicio de notificaciones electrónicas de la Fábrica Nacional de Moneda y Timbre avisándole de que hasta el 15 de julio de 2018 tendría disponible una notificación del juzgado de Lorca relacionada con el procedimiento EHJ 060-2018 a la que, para que constase como leída, debía acceder a través de un enlace adjunto (http://notificaciones.060.es). La mercantil recurrente no accedió al enlace adjunto hasta el último día del plazo de disponibilidad que le fue indicado; esto es, el 15 de julio de 2018, y presentó su escrito de oposición el siguiente día 24 de julio, por lo que considera que lo hizo dentro del plazo de diez días hábiles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la vulneración de su derecho fundamental a la tutela judicial efectiva sin indefensión (art. 24.1 CE), como consecuencia de no haberse efectuado aquel emplazamiento inicial en el proceso de ejecución de manera personal y con entrega en papel de la documentación correspondiente, tal y como establecen las normas de la Ley de enjuiciamiento civil. Por su parte, la entidad Pera Assets Designated Activity Company, personada en este proceso como adquirente del crédito cuya ejecución se insta en la instancia, solicita la desestimación del recurso alineando sus argumentos con los contenidos en las resoluciones impugnadas. Por último, el Ministerio Fiscal, con sustento en las razones que se han expuesto en los antecedentes, solicita la estimación del recurso de amparo, al considerar que se ha producido la vulneración denunciada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de amparo se inscribe en la serie de recursos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aquéllas, al considerarlos extemporáneos mediante el descrito cómputo del plazo de oposición que ha sido realizado con arreglo a normas del procedimiento administrativo común. El RA núm. 5377-2018 promovido por Euroinversiones Inmobiliarias Costa Sur, S.L., constituye la cabecera de la serie, y ha sido resuelto en sentido estimatorio por la reciente STC 40/2020, de 27 de febrero, del Pleno, a cuyas consideraciones nos remitiremos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establecida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40/2020, de 27 de febrero (FJ 3), hemos abordado ya el examen de la misma queja de fondo planteada en este recurso, en la que se aduce también la vulneración del art. 24.1 CE como consecuencia de la inadmisión por extemporáneo del escrito de oposición a la ejecución. Se advierte en ella que para su solución resulta de aplicación la doctrina de este Tribunal plasmada en las SSTC 6/2019, de 17 de enero, FJ 4 a), (iii), dictada al resolver una cuestión de inconstitucionalidad planteada en relación con el último inciso del artículo 152.2 LEC y 47/2019, de 8 de abril, FJ 4 a), recaída en proceso de amparo, en relación con la garantía de emplazamiento personal inicial del demandado o ejecutado en los procesos regidos en esta materia por la Ley de enjuiciamiento civil (directa o supletoriamente). En ellas hemos concluido que no procede efectuar por medios electrónicos la citación o emplazamiento del demandado aún no personado en el procedimiento, dado que esos actos deben realizarse por remisión a su domicilio, sin que dicha forma de comunicación pueda ser sustituida por otra electrónica, como puede ser el caso de la efectuada a través de la dirección electrónica habilitada. Tal emplazamiento personal se exige en el art. 155.1 LEC, exigencia de la que es complemento por la regla establecida en el art. 273.4 LEC sobre la presentación en papel de las copias de los escritos y documentos que sustenten la acción.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ahora, al igual que hemos establecido en la STC 40/2020, FJ 4, que las dos resoluciones judiciales impugnadas vulneraron el derecho a la tutela judicial efectiva sin indefensión de la recurrente, por no proceder a su emplazamiento personal en el proceso a quo a efectos de requerirla de pago o, alternativamente, permitirle presentar su oposición a la ejecución, optando, en cambio, el órgano judicial por un emplazamiento electrónico a través del servicio de notificaciones electrónicas y dirección electrónica habilitada de la Fábrica Nacional de Moneda y Timbre. Además, el plazo para presentar el escrito de oposición fue computado invocando normas del procedimiento administrativo común que son ajenas al ámbito jurisdiccional en el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ha de ser estimado en aplicación de la doctrina fijada en las SSTC 47/2019 y 40/2020 y, en consecuencia, debe declararse la vulneración del derecho a la tutela judicial efectiva sin indefensión de la entidad demandante (art. 24.1 CE). De conformidad con lo establecido en el art. 55 LOTC, procede declarar la nulidad de los autos impugnados del Juzgado de Primera Instancia e Instrucción núm. 6 de Lorca, así como de todo lo actuado en el procedimiento de ejecución hipotecaria desde que se proveyó a su emplazamiento a través de la dirección electrónica habilitada, con retroacción de las actuaciones hasta este momento a fin de que el juzgado proceda a efectuar dicho emplazamiento de manera respetuosa con el derecho fundamental de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Penrei Inversiones,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 17 de septiembre de 2018 y 4 de abril de 2019, dictados por el Juzgado de Primera Instancia e Instrucción núm. 6 de Lorca en el proceso de ejecución hipotecaria núm. 60-2018, así como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