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29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4167-2017, promovido por doña Esperanza Martínez Calvo, contra el auto de la Sala de lo Social del Tribunal Supremo de 21 de junio de 2017 por el que se inadmite el recurso de casación para la unificación de doctrina núm. 3200-2016 interpuesto contra la sentencia de la Sala de lo Social del Tribunal Superior de Justicia de Madrid núm. 587/2016, de 6 de junio de 2016, por la que se desestima el recurso de suplicación núm. 461-2016 interpuesto contra la sentencia del Juzgado de lo Social núm. 38 de Madrid núm. 540/2015, de 11 de noviembre de 2015, pronunciada en el procedimiento sobre despido núm. 825-2015. Ha comparecido la entidad Real Automóvil Club de España.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Esperanza Martínez Calvo, representada por la procuradora de los tribunales doña Olga Romojaro Casado y bajo la dirección del letrado don José Isaúl Alejos Sánchez, interpuso demanda de amparo contra las resoluciones que se citan en el encabezamiento mediante escrito registrado en este tribunal el 18 de agosto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del Juzgado de lo Social núm. 38 de Madrid núm. 540/2015, de 11 de noviembre de 2015, pronunciada en el procedimiento sobre despido núm. 825-2015, acordó desestimar el recurso interpuesto por la demandante de amparo contra la decisión empresarial de denegar su reincorporación al puesto de trabajo tras una excedencia forzosa motivada por el régimen de dedicación exclusiva como concejal de un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declaró como hechos probados no controvertidos, entre otros, que (i) la recurrente prestaba sus servicios profesionales como administrativa para la entidad Real Automóvil Club de España desde el 1 de julio de 1974; (ii) la recurrente había resultado elegida concejala del Ayuntamiento de Algete desde mayo de 1991 hasta el momento del dictado de la sentencia; (iii) en los respectivos plenos de dicho ayuntamiento de 30 de septiembre de 1999, 26 de junio de 2003, 22 de junio de 2007 y 11 de junio de 2011 se reconoció a la recurrente la situación de dedicación exclusiva en su función de concejala; (iv) en el pleno de 13 de junio de 2015 “no se reconoce a la actora la dedicación exclusiva, debido a que el partido político al que pertenece obtuvo una representación de dos concejales”; y (v) la recurrente desde 2005 no desempeñaba tareas en el gobierno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frente a la invocación del art. 23 CE para justificar la nulidad de la negativa empresarial a la reincorporación a su puesto de trabajo tras haber cesado la situación de dedicación exclusiva y, por tanto, la excedencia forzosa, argumenta que la reincorporación desde una situación de excedencia forzosa no depende solo de la voluntad del trabajador sino que permite al empresario “requerir cumplida prueba de un cambio de circunstancias determinante de que ha dejado de existir la incompatibilidad del trabajo con la función del cargo”, destacando que “lo determinante, para la desestimación de las pretensiones de la actora, es que, no se ha acreditado ningún cambio en sus funciones entre los diez años anteriores a la petición de la reincorporación a su trabajo, y el momento actual, más allá de un cambio en la retribución económica, debido a la supresión acordada en la corporación municipal, de un complemento económico de exclusividad, que la propia trabajadora anudó, no a un cambio real de funciones de concejal, sino a un hecho numérico, cual es que las siglas del partido al que representa obtuvieron menos de cuatro concejales en el ayuntamiento de referencia” (fundamento jurídico tercero). Igualmente se incide en que “de la documental obrante en autos, podemos ver cómo los concejales sin dedicación exclusiva asisten a pleno, comisiones informativas, juntas de gobierno, juntas de portavoces sin que se haya explicado en esta causa, ni un cambio en las funciones de la concejala, ni […] una real compatibilidad actual entre estas funciones y las propias del trabajo en la empresa demandada a la que pretende reincorporarse la actora”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de amparo interpuso recurso de suplicación, tramitado con el núm. 461-2016 por la Sala de lo Social del Tribunal Superior de Justicia de Madrid, alegando, entre otros motivos, la vulneración del art. 23 CE y del art. 75.1 de la Ley 7/1985, de 2 de abril, reguladora de las bases del régimen local (LBRL), conforme al cual los miembros de las corporaciones locales que desempeñen su cargo con dedicación exclusiva percibirán retribuciones que serán incompatibles con otras percepciones en los términos de la Ley 53/1984, de 26 de diciembre, de incompatibilidades del personal al servicio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sentencia núm. 587/2016, de 6 de junio de 2016, insistiendo en que, en atención a la cuestión planteada —la solicitud de reincorporación desde una situación de excedencia forzosa— las exigencias legales que han de cumplirse son el cambio de circunstancias desde la situación anterior y que ese cambio de circunstancias no imposibilite la asistencia a su trabajo por el ejercicio del cargo. Se argumenta que, si bien ha quedado acreditado el cambio de circunstancias por haber cesado en la dedicación exclusiva, ello no supone que no tenga una dedicación ordinaria propia de una concejala, por lo que habría que dilucidar si ese cargo público le imposibilita el ejercicio de su trabajo como oficial administrativo. A esos efectos, el razonamiento que utiliza es que (i) la recurrente no desempeña tareas de gobierno desde el año 2005 y no pidió entonces su reincorporación al trabajo; (ii) eso implica que su labor como concejala, aun sin ejercer tareas de gobierno, sí le impedía compatibilizarlo con su trabajo. Además, analiza las labores de los concejales y concluye que “aunque no ejerza funciones de gobierno municipal, tiene que realizar trabajos y asistir a plenos, comisiones, etc. que lo hace incompatible con la observancia en la empresa de la jornada de trabajo”, destacando que “se está en la situación de incompatibilidad prevista en el art. 46.1 del estatuto de los trabajadores para la situación de excedencia forzosa para el ejercicio de cargo público”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demandante de amparo interpuso recurso de casación para la unificación de doctrina, tramitado con el núm. 3200-2016 por la Sala de lo Social del Tribunal Supremo, siendo inadmitido por auto de 21 de junio de 2017 por falta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solicita que se estime el recurso de amparo por vulneración del derecho al cargo público representativo (art. 23 CE) declarándose la nulidad de las resoluciones impugnadas y la del despido. La invocación del art. 23 CE la fundamenta en que la argumentación utilizada por las sentencias impugnadas, que viene a exigir que si pretende reintegrarse en su puesto de trabajo previamente ha de dimitir como concejala, implica que ningún trabajador podría ejercer su derecho a ser elegido concejal de su ayuntamiento manteniendo, a la vez, su puesto de trabajo y su retribución. También, se pone de manifiesto que el art. 75 LBRL establece que los miembros de las corporaciones locales percibirán retribuciones por el ejercicio de sus cargos cuando los desempeñen con dedicación exclusiva, por lo que si no hay dedicación exclusiva no hay retribución. En relación con ello, se destaca que mientras la demandante tuvo dedicación exclusiva (entre 1999 y hasta 2015) no podía haber solicitado el reingreso en la empresa, pero una vez perdida la misma deja de percibir retribución del ayuntamiento, que es lo mismo que sucedió entre 1991 y 1999 en que la demandante compatibilizó el cargo de concejala con su trabajo. Por tanto, se concluye que en la vía judicial se han interpretado los arts. 46.1, en relación con el art. 37.3 de la Ley del estatuto de los trabajadores (LET), de forma contraria a la efectividad del derecho fundamental consagrado en el art. 23 CE, forzándola a elegir entre su sustento personal (mediante su reincorporación a la empresa) o el desempeño de su puesto de concejala (sin retribución).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afirma que el recurso de amparo tiene especial transcendencia constitucional, conforme a lo establecido en la STC 155/2009, de 25 de junio, ya que no existe jurisprudencia relativa al art. 23 CE en relación con el derecho a la reincorporación al puesto de trabajo desde una situación de excedencia forzosa de concejales o miembros de las corporaciones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16 de julio de 2018, acordó la admisión a trámite del recurso de amparo, apreciando que concurre una especial trascendencia constitucional porque el recurso plantea un problema o afecta a una faceta de un derecho fundamental sobre el que no hay doctrina de este tribunal [STC 155/2009, FJ 2 a)]; y, en aplicación de lo dispuesto por el art. 51 de la Ley Orgánica del Tribunal Constitucional (LOTC), requerir atentamente de los órganos judiciales la remisión de las actuaciones y el emplazamiento de quienes hubieran sido parte en el procedimiento, a excepción de la recurrente, para que pudiesen comparecer en el plazo de diez días en el citado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15 de octubre de 2018, acordó tener por personada a la entidad Real Automóvil Club de España, representada por el procurador de los tribunales don Francisco de Sales José Abajo Abril y bajo la dirección del letrado don Fernando Vizcaíno de Sas y dar vista de las actuaciones al Ministerio Fiscal y a las partes personadas por un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13 de noviembre de 2018, formuló alegaciones interesando la estimación del recurso de amparo por vulneración del derecho al ejercicio de cargo público (art. 23.2 CE) con anulación de las resoluciones impugnadas y la declaración de nulidad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la decisión judicial de confirmar la negativa a la reincorporación de la demandante a su puesto de trabajo ha vulnerado el art. 23 CE, ya que “supone lisa y llanamente desconocer el derecho de la trabajadora al reingreso en su puesto de trabajo sin base legal alguna por la mera condición de seguir siendo un cargo público electo, sin que, insistimos concurra causa legal alguna para ello”. Así, se destaca que se ha omitido valorar datos relevantes como son que la demandante había compatibilizado su labor pública con el desempeño de su trabajo durante largos años sin inconveniente alguno o que el pase de la recurrente a la situación de excedencia forzosa se produjo por el reconocimiento de una dedicación exclusiva en el ayuntamiento que le imposibilitaba legalmente la realización de su trabajo y no su mera condición de concejal ni el extremo de ejercitar o no labores de gobierno. También pone de manifiesto el Ministerio Fiscal que no se ha atendido en el razonamiento judicial a la realidad de los hechos, ya que la demandante no había perdido la condición de dedicación exclusiva por propia decisión sino tras un proceso electoral y un cambio legislativo que supuso que “ya no contaba con retribución ni con incompatibilidad para desempeñar su puesto de trabajo”. Por tanto, se concluye que el proceso argumental conforme al cual el ejercicio del cargo político es el que determina la pérdida del puesto de trabajo o que para poder conservarlo debe renunciar a sus labores representativas “supone sancionar con la pérdida de su puesto de trabajo el ejercicio de un derecho fundamental, lo que carece de base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por escrito registrado el 14 de noviembre de 2018, formuló alegaciones solicitando la desestimación del recurso de amparo, argumentando que no se ha vulnerado el derecho de representación política de la recurrente ya que, tal como ha quedado establecido en las resoluciones judiciales, hubo un despido al concurrir causas legalmente previstas para el mismo, habiéndose dado preferencia al ejercicio de su cargo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demandante de amparo, por escrito de 19 de noviembre de 2018, formuló alegaciones ratificándose en la argumentación expuesta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junio 2020,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El objeto de este recurso es determinar si las resoluciones judiciales impugnadas han vulnerado el derecho a la representación política de la demandante de amparo (art. 23.2 CE) por haber confirmado la legalidad de la negativa empresarial a la reincorporación a su puesto de trabajo tras cesar la situación de excedencia forzosa en que se mantenía motivada por el reconocimiento del régimen de dedicación exclusiva en su condición de concejala de un ayuntamiento con el argumento de que la dedicación ordinaria propia de una concejala también supone una actividad incompatible con la observancia en la empresa de la jornada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la Sala de lo Social del Tribunal Supremo es impugnado y, en su caso, podría ser objeto de anulación —a pesar de haberse limitado a inadmitir el recurso de casación para la unificación de doctrina por considerar que la recurrente no había aportado un término de comparación válido— como acto procesal, posterior y formalmente confirmatorio, de los que la demandante reputa incursos en causa de nulidad por vulneración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transcendencia constitucional de la demanda: La presente demanda de amparo, como ya se indicó en la providencia de admisión, tiene especial transcendencia constitucional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la STC 125/2018, de 26 de noviembre, haya resuelto un asunto en el que se examinaron cuestiones semejantes a las planteadas en el presente recurso de amparo no impide la apreciación de la causa de especial transcendencia constitucional a que acabamos de referirnos por ser aquella sentencia posterior a la presentación de la demanda e incluso a la admisión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constitucional sobre el derecho de representación política de los concejales y su afectación por la extinción de las relaciones laborales: La citada STC 125/2018 aborda la cuestión de cómo puede quedar afectado el derecho a la representación política de los concejales por decisiones empresariales extintivas de sus relaciones laborales con ocasión de un supuesto de despido por absentismo en que se habían computado las horas invertidas en asistencia a plenos municipales y comisiones informativas.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fundamentos jurídicos 3 y 4 de la STC 125/2018 se resume la jurisprudencia sobre el particular, de la que cabe destacar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23.2 CE consagra la dimensión pasiva del derecho de participación política, que tiene un contenido explícito —el derecho de los ciudadanos a acceder en condiciones de igualdad a las funciones y cargos públicos, con los requisitos que señalen las leyes— y otro implícito compuesto por (a) el derecho a permanecer, en condiciones de igualdad y con los requisitos que señalen las leyes, en los cargos o funciones públicas a los que se accedió; (b) el derecho al ejercicio o desempeño del cargo público representativo conforme a lo previsto en las leyes (el llamado ius in officium); y (c) la prohibición de remoción del cargo si no es por causas y de acuerdo con procedimientos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lo que se refiere a la vertiente de derecho al ejercicio o desempeño del cargo público representativo conforme a lo previsto en las leyes, se ha establecido que no cualquier acto que infrinja la legalidad del ius in officium resulta lesivo del derecho fundamental, ya que solo poseen relevancia constitucional, a estos efectos, los derechos o facultades atribuidos al representante que pertenezcan al núcleo de su función representativa, en el sentido de que se impida o coarte la práctica de la función representativa o se adopten decisiones que contraríen la naturaleza de la representación o la igualdad de los representantes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Pertenecen al núcleo inherente a la función representativa que constitucionalmente corresponde a los miembros de una corporación local la participación en la actividad de control del gobierno local, en las deliberaciones del pleno de la corporación, la de votar en los asuntos sometidos a votación en este órgano, y el derecho a obtener la información necesaria para poder ejercer las anteriores actividades y participar en las comisiones informativas (así, SSTC 169/2009 de 9 de julio, FJ 3; 9/2012, de 18 de enero, FJ 4, o 151/2017, de 21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 partir de las anteriores consideraciones, la STC 125/2018 concluye que “serán contrarios al derecho reconocido en el artículo 23.2 CE cualesquiera actos tendentes, tanto a impedir la participación de un concejal electo en la deliberación del pleno de una corporación municipal, como la negativa del empresario a facilitar la asistencia del trabajador a tales actos o la calificación de dicha ausencia como injustificada, a efectos de adoptar medidas de carácter disciplinario contra aquel. En definitiva, lo serían todos aquellos actos obstativos realizados por el empleador en el ejercicio de sus poderes empresariales, que fueran utilizados para impedir u obstaculizar el ejercicio de este núcleo esencial del ius in officium del que es titular el trabajador por cuenta ajena y a su cargo, que tenga la condición de miembro de dicho consistorio municipal”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al supuesto enjuiciado: En el presente caso, tal como ha quedado acreditado en las actuaciones y ha sido expuesto de manera más detallada en los antecedentes, se pone de manifiesto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Han quedado probados como hechos no controvertidos en la vía judicial previa, entre otros, que la demandante de amparo (a) prestaba sus servicios profesionales como administrativa para la entidad Real Automóvil Club de España cuando fue elegida concejala del Ayuntamiento de Algete en mayo de 1991 y se produjo su reelección consecutiva en las elecciones locales de 1995, 1999, 2003, 2007, 2011 y 2015; (b) durante el periodo de mayo de 1991 hasta el 30 de septiembre de 1999 se mantuvo en el ejercicio activo en el desempeño de su relación laboral compatibilizándolo con su labor de concejala; (c) desde el 30 de septiembre de 1999 y hasta el 13 de junio de 2015 el pleno del ayuntamiento le reconoció la situación de dedicación exclusiva en su función de concejala por lo que, al amparo del art. 46.1 LET, solicitó y le fue reconocida por su empleadora la situación de excedencia forzosa en su puesto de trabajo; (d) el 13 de junio de 2015 el pleno del ayuntamiento le retiró el reconocimiento de la dedicación exclusiva; y (e) en dicha fecha solicitó la reincorporación a su puesto de trabajo, lo que le fue denegado por la entidad empleadora.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vía judicial se confirmó la negativa empresarial a la reincorporación al puesto de trabajo de la demandante de amparo con el argumento exclusivo de que —si bien había quedado acreditado el cambio de circunstancias, ya que había cesado en la dedicación exclusiva reconocida por el pleno del ayuntamiento— se mantenía con la dedicación ordinaria propia de su condición de concejala, concluyendo que “aunque no ejerza funciones de gobierno municipal, tiene que realizar trabajos y asistir a plenos, comisiones, etc. que lo hace incompatible con la observancia en la empresa de la jornada de trabajo” (fundamento de derecho segundo). Se precisaba que desde el año 2005 no ejercía labores en el gobierno municipal, cosa que no había motivado su solicitud de reincorporación, lo que acreditaba la existencia de una incompatibilidad material entre sus funciones de representación política y las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y tal como también interesa el Ministerio Fiscal, debe concluirse que se ha vulnerado el derecho a la representación política de la demandante de amparo (art. 23.2 CE). En vía judicial se ha confirmado la legalidad de la negativa a la reincorporación al puesto de trabajo de la demandante de amparo —tras cesar el reconocimiento de la dedicación exclusiva en su función de concejala por parte del pleno del ayuntamiento y, por tanto, de su excedencia forzosa derivada de dicha incompatibilidad— con el único argumento de que la dedicación ordinaria de la demandante del amparo —ejemplificada en la asistencia a los plenos o las comisiones— no resulta materialmente conciliable con la observancia de su jornada laboral. Esta argumentación resulta contraria a la efectividad del derecho a la representación política de la demandante de amparo, ya que, en los términos expuestos en la STC 125/2018, implica una consecuencia laboral desfavorable para la demandante de amparo con fundamento en el ejercicio del núcleo esencial de su ius in officium como miembro de un consistorio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el argumento judicial de que la existencia de una incompatibilidad material con las funciones de representación política municipal quedaría acreditada porque la demandante de amparo no desarrollaba labores de gobierno municipal desde el año 2005, cosa que no había motivado su solicitud de reincorporación hasta diez años después, no resulta relevante desde la perspectiva del art. 23.2 CE. Como señala el Ministerio Fiscal, también es un hecho no controvertido, por un lado, que la demandante de amparo compatibilizó su función de concejala con su prestación laboral desde 1991 hasta 1999 y, por otro, que la situación de excedencia forzosa ha venido motivada desde su solicitud y reconocimiento en 1999 y hasta el 2015, en que se solicitó la reincorporación ahora denegada, por la concesión del régimen de dedicación exclusiva por parte del pleno del ayuntamiento, con independencia de si ejercía labores o no de gobierno municipal que, a los efectos del ejercicio del ius in officium, no resulta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restablecimiento de la vulneración del derecho a la representación política de la demandante de amparo determina que deban anularse las resoluciones judiciales impugnadas y la declaración de nulidad de la negativa a la reincorporación a su puesto de trabajo. En el presente caso, resulta procedente la retroacción de actuaciones para que el juez de lo social se pronuncie sobre los efectos legales inherentes a la vulneración del derecho fundamental y de la nulidad de la extinción laboral declarada en esta sentencia, incluyendo una eventual pretensión indemnizatoria.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doña Esperanza Martínez Calvo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participación en asuntos públicos mediante el ejercicio de cargo representativo electo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el citado derecho y, a tal fin, declarar la nulidad de la sentencia del Juzgado de lo Social núm. 38 de Madrid núm. 540/2015, de 11 de noviembre de 2015, pronunciada en el procedimiento sobre despido núm. 825-2015; de la sentencia de la Sala de lo Social del Tribunal Superior de Justicia de Madrid núm. 587/2016, de 6 de junio de 2016, pronunciada en el recurso de suplicación núm. 461-2016; y del auto de la Sala de lo Social del Tribunal Supremo de 21 de junio de 2017, pronunciado en el recurso de casación para la unificación de doctrina núm. 3200-2016.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la nulidad de la extinción de su relación laboral.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Retrotraer las actuaciones al momento inmediatamente anterior a dictarse la sentencia del Juzgado de lo Social núm. 38 de Madrid núm. 540/2015, de 11 de noviembre de 2015, para que se pronuncie sobre los efectos legales inherentes a la citada declaración de nulidad de la extinción de la relación laboral, incluyendo una eventual pretensión indemnizatoria.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