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3544-2019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3544-2019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292-2018,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6 de junio de 2019,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5 de Lorca en el procedimiento de ejecución hipotecaria núm. 292-2018, en fechas 21 de septiembre de 2018 y 23 de abril de 2019, por los que, respectivamente, se inadmitió por extemporánea la oposición a la ejecución hipotecaria y se confirmó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292-2018, promovido por la entidad Banco de Sabadell, S.A., frente a las sociedades Euroinversiones Inmobiliarias Costa Sur, S.L., y Penrei Inversiones, S.L.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9 de mayo de 2018 se acordó despachar ejecución frente a las sociedades demandadas. El citado auto y el decreto de la misma fecha que le sigue fueron comunicados a la entidad Euroinversiones Inmobiliarias Costa Sur, S.L., a través de la sede judicial electrónica el día 11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Euroinversiones Inmobiliarias Costa Sur, S.L., presentó escrito de oposición a la ejecución despachada, con fecha 10 de julio de 2018. Por auto de 21 de septiembre de 2018 se acordó su inadmisión por presentación extemporánea, tomando como fecha de notificación del auto el 11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alegando, en síntesis, que las actuaciones de notificación y requerimiento no habían sido realizadas el día 11 de mayo de 2018, sino el 26 de junio de 2018, y que la comunicación remitida a través de la dirección electrónica habilitada no podía entenderse nada más que como un aviso de puesta a disposición o descarga de su contenido durante un plazo determinado (en el caso desde el 11 de mayo al 26 de junio de 2018) y entenderlo de otro modo, además de infringir los arts. 135, 152, 160, 162 de la Ley de enjuiciamiento civil (LEC), vulneraba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resuelto por auto de 23 de abril de 2019 en sentido desestimatorio, al constatar su condición de persona jurídica y la obligación que como tal tiene de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de 1 de octubre, del procedimiento administrativo común de las administraciones públicas (LPACAP) y 373.3 LEC, y determina que la recurrente yerra “en el plazo en el que puede acceder a su contenido a efectos de la práctica de la notificación el cual es de diez días naturales desde la puesta a su disposición y ello por imperativo del art. 43 de la citada LPACAP”, que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recibido una Notificación del organismo emisor Juzgados y Tribunales (SGAJ) en la Dirección Electrónica Habilitada Única del titular Euro-Inversiones Inmobiliarias Costa Sur SL — NIF B73258006.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11-05-2018 hasta el 26-07-2018. Si no procediera a su lectura en el plazo indicado se producirán los efectos correspondientes, según la normativa aplicable. Para que conste como leída, por favor acceda a http://notificaciones060.es Asunto: “JDO. 1 INST. E INSTR. N 5 DE LORCA EHJ/00000292/2018’”.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si como consecuencia de su continuación “se decretara la celebración de subasta y la eventual adjudicación a terceros, puede hacer esto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febrero de 2020, la Sección Segunda de este tribunal acordó admitir a trámite el recurso de amparo y dirigir comunicación al Juzgado de Primera Instancia e Instrucción núm. 5 de Lorca, a fin de que emplazase a quienes hubieran sido parte en el procedimiento de ejecución hipotecaria núm. 292-2018, excepto la parte recurrente en amparo, para que en el plazo de diez días pudieran comparecer en el recurso de amparo, si lo desean. En esta providencia no se reclaman las actuaciones por estar ya incorporadas al expediente.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escrito presentado el 14 de febrero de 2020, la parte demandante formuló sus alegaciones, reiterando lo dicho en el otrosí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25 de febrero de 2020, interesa que se acuerde la anotación preventiva de la demanda en el registro de la propiedad, aunque esta última medida no haya sido solicitada en el recurso de amparo. Tras exponer la doctrina de este tribunal sobre suspensión de resoluciones y actos impugnados, considera que la aplicación al caso de dicha doctrina nos debe llevar a considerar que nos encontramos en uno de esos supuestos en que, de no adoptarse la medida de anotación preventiva de la demanda, la tutela que pudiera otorgarse por este tribunal no sería completa si se deja abierta la posibilidad de que la finca sea transmitida a un tercero de buena fe mientras se sustancia y resuelve el presente recurso de amparo, por lo que interesa la anotación preventiva de la demanda en el registro de la propiedad evitando así situaciones cuya reversibilidad sería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292-2018,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su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 varios autos que resuelven incidentes de ejecución de esta misma serie de recursos de amparo. Valgan como ejemplo, en relación con el mismo recurrente en amparo, los recientes AATC 174/2019 y 177/2019, de 16 de diciembre, 4/2020, 5/2020, 6/2020 y 8/2020, de 27 de enero, y 15/2020, de 10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292-2018,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