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6087-2019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6087-2019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295-2018,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octubre de 2019, la entidad Euroinversiones Inmobiliarias Costa Sur, S.L., representada por la procuradora de los Tribunales doña Blanca Berriatua Horta y bajo la dirección del letrado don Marcelino Gilabert García, interpuso recurso de amparo contra los autos dictados por el Juzgado de Primera Instancia e Instrucción núm. 5 de Lorca en el procedimiento de ejecución hipotecaria núm. 295-2018, en fechas 21 de septiembre de 2018 y 10 de septiembre de 2019, por los que, respectivamente, se inadmite por extemporánea la oposición a la ejecución hipotecaria formulada por la recurrente, y se desestima el recurso de reposición interpuesto contra la primera de las resoluciones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solicita, por otrosí, la suspensión del procedimiento de ejecución hipotecaria, al considerar que “la continuación de la ejecución derivada de los pronunciamiento judiciales que han sido objeto de impugnación, con la celebración de subasta y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24 de febrero del 2020, la Sección Tercera de este Tribunal acordó admitir a trámite el recurso de amparo y, a su vez, dirigir comunicación al Juzgado de Primera Instancia e Instrucción núm. 5 de Lorca, a fin de que, en el plazo de diez días, remitiera certificación o fotocopia adverada de las actuaciones correspondientes a los autos de ejecución hipotecaria núm. 295-2018, y emplazara a quienes hubieran sido parte en el proceso del que trae causa el presente recurso de amparo, excepto a la parte recurrente en amparo, para que pudieran comparecer, si lo desean,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misma fecha, la referida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3 de marzo del 2020, la parte demandante formuló sus alegaciones, en las cuales reitera la solicitud de suspensión formulada en la demanda. En síntesis, considera procedente la suspensión del procedimiento de ejecución, pues si no se adopta la medida interesada se podría materializar la entrega de la posesión y la transmisión de la propiedad del inmueble a un tercero, lo que daría lugar a una situación difícilmente reversible. Por otro lado, alega que la suspensión del procedimiento no originaría una perturbación grave de los intereses generales o de los derechos fundamentales y libertades públicas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 pretensión invoca diferentes resoluciones de este Tribunal en las que se acordó la suspensión del procedimiento de ejecución; concretamente, los AATC 21/2018, de 5 de marzo, 58/2018, de 4 de junio, y 117/2018, de 29 de octubre, cuyo contenido transcribe parcialmente. Finalmente, sintetiza la argumentación dada en el escrito de demanda para fundar la lesión que dice haber sufrido, así como reitera las razones dadas para justificar la solicitud de suspensión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sus alegaciones el 6 de marzo del 2020. En síntesis, interesa que se acuerde la anotación preventiva de la demanda en el registro de la propiedad. Tras compendiar la doctrina constitucional relativa a la suspensión prevista en el art. 56 LOTC, afirma que la solicitud de la medida de suspensión se limita a aludir a la pérdida de finalidad del recurso para el caso de que “llegara a celebrarse la subasta de los bienes inmuebles en conflicto y su actuación a un tercero que actuaría de buena fe”. Por otro lado, el fiscal aprecia que la suspensión comportaría la paralización del procedimiento ejecutivo que, por su propia naturaleza, goza de las características de celeridad y sumariedad; y además, considera más eficaz la anotación preventiva de la demanda en el registro de la propiedad, medida mediante la cual se daría publicidad a terceros de la pendencia del recurso, y se evitaría que un hipotético tercer adquirente del inmueble hipotecado quede especialmente protegido por su buena fe en la adquisición.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295-2018,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permite concluir, de acuerdo con el Ministerio Fiscal, que resulta improcedente la suspensión solicitada, pues la medida idónea es la anotación preventiva de la demanda en el registro de la propiedad. La parte recurrente se limita a poner de manifiesto, que la eventual adjudicación a terceros de los bienes inmuebles sujetos a ejecución puede hacer perder al recurso de amparo su finalidad, sin añadir indicación alguna sobre la situación y circunstancias de la entidad mercantil recurrente ni sobre las características, destino y estado posesorio del inmueble hipotecado.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 Esta misma ha sido la solución acogida recientemente, entre otros, en los AATC 2/2019, de 9 de enero; 88/2018, de 17 de septiembre, y 106/2017, de 17 de julio, así como en el ATC 85/2019, de 15 de julio, a propósito de otro procedimiento hipotecario seguido ante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en su lugar,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295-2018,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