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6087-2019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6087-2019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295-2018,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octubre de 2019, la entidad Euroinversiones Inmobiliarias Costa Sur, S.L., representada por la procuradora de los Tribunales doña Blanca Berriatua Horta y bajo la dirección del letrado don Marcelino Gilabert García, interpuso recurso de amparo contra los autos dictados por el Juzgado de Primera Instancia e Instrucción núm. 5 de Lorca en el procedimiento de ejecución hipotecaria núm. 295-2018, en fechas 21 de septiembre de 2018 y 10 de septiembre de 2019, por los que, respectivamente, se inadmite por extemporánea la oposición a la ejecución hipotecaria formulada por la recurrente, y se desestima el recurso de reposición interpuesto contra la primera de las resoluciones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hipotecaria, al considerar que “la continuación de la ejecución derivada de los pronunciamiento judiciales que han sido objeto de impugnación, con la celebración de subasta y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24 de febrero del 2020, la Sección Tercera de este Tribunal acordó admitir a trámite el recurso de amparo y, a su vez, dirigir comunicación al Juzgado de Primera Instancia e Instrucción núm. 5 de Lorca, a fin de que, en el plazo de diez días, remitiera certificación o fotocopia adverada de las actuaciones correspondientes a los autos de ejecución hipotecaria núm. 295-2018, y emplazara a quienes hubieran sido parte en el proceso del que trae causa el presente recurso de amparo, excepto a la parte recurrente en amparo, para que pudieran comparecer, si lo desean,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misma fecha, la referida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3 de marzo del 2020, la parte demandante formuló sus alegaciones, en las cuales reitera la solicitud de suspensión formulada en la demanda. En síntesis, considera procedente la suspensión del procedimiento de ejecución, pues si no se adopta la medida interesada se podría materializar la entrega de la posesión y la transmisión de la propiedad del inmueble a un tercero, lo que daría lugar a una situación difícilmente reversible. Por otro lado, alega que la suspensión del procedimiento no originaría una perturbación grave de los intereses generales o de los derechos fundamentales y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pretensión invoca diferentes resoluciones de este Tribunal en las que se acordó la suspensión del procedimiento de ejecución; concretamente, los AATC 21/2018, de 5 de marzo, 58/2018, de 4 de junio, y 117/2018, de 29 de octubre, cuyo contenido transcribe parcialmente. Finalmente, sintetiza la argumentación dada en el escrito de demanda para fundar la lesión que dice haber sufrido, así como reitera las razones dadas para justificar la solicitud de suspensión del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6 de marzo del 2020. En síntesis, interesa que se acuerde la anotación preventiva de la demanda en el registro de la propiedad. Tras compendiar la doctrina constitucional relativa a la suspensión prevista en el art. 56 LOTC, afirma que la solicitud de la medida de suspensión se limita a aludir a la pérdida de finalidad del recurso para el caso de que “llegara a celebrarse la subasta de los bienes inmuebles en conflicto y su actuación a un tercero que actuaría de buena fe”. Por otro lado, el fiscal aprecia que la suspensión comportaría la paralización del procedimiento ejecutivo que, por su propia naturaleza, goza de las características de celeridad y sumariedad; y además, considera más eficaz la anotación preventiva de la demanda en el registro de la propiedad, medida mediante la cual se daría publicidad a terceros de la pendencia del recurso, y se evitaría que un hipotético tercer adquirente del inmueble hipotecado quede especialmente protegido por su buena fe en la adquisición.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295-2018,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37/2014, FJ 2; 282/2014, de 17 de noviembre, FJ 4,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de la que se ha hecho mención al caso permite concluir, de acuerdo con el Ministerio Fiscal, que resulta improcedente la suspensión solicitada, pues la medida idónea es la anotación preventiva de la demanda en el registro de la propiedad. La parte recurrente se limita a poner de manifiesto, que la eventual adjudicación a terceros de los bienes inmuebles sujetos a ejecución puede hacer perder al recurso de amparo su finalidad, sin añadir indicación alguna sobre la situación y circunstancias de la entidad mercantil recurrente ni sobre las características, destino y estado posesorio del inmueble hipotecado. En tales circunstancias, no es posible afirmar que la continuación del curso del procedimiento judicial, incluso con un desplazamiento posesorio, provoque por sí sola un perjuicio determinante de la perdida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haga irreivindicable. Esta misma ha sido la solución acogida recientemente, entre otros, en los AATC 2/2019, de 9 de enero; 88/2018, de 17 de septiembre, y 106/2017, de 17 de julio, así como en el ATC 85/2019, de 15 de julio, a propósito de otro procedimiento hipotecario seguido ante el Juzgado de Primera Instancia e Instrucción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en su lugar,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295-2018,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