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junio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3546-2019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3546-2019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372-2018, seguido en el Juzgado de Primera Instancia e Instrucción núm. 5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6 de junio de 2019, la entidad Penrei Inversiones, S.L., representada por la procuradora de los tribunales doña Blanca Berriatua Horta y bajo la dirección de la letrada doña Anju Nirmala Benavent Rodríguez, interpuso recurso de amparo contra los autos dictados por el Juzgado de Primera Instancia e Instrucción núm. 5 de Lorca en el procedimiento de ejecución hipotecaria núm. 372-2018, en fechas 21 de septiembre de 2018 y 23 de abril de 2019, por los que, respectivamente, se inadmite por extemporánea la oposición a la ejecución hipotecaria y se confirma esta última decisión al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5 de Lorca se sigue procedimiento de ejecución hipotecaria núm. 372-2018 promovido por la entidad Banco de Sabadell, S.A., frente a las sociedades Euroinversiones Inmobiliarias Costa Sur, S.L., en calidad de prestataria e hipotecante, y Penrei Inversiones, S.L., en calidad de titular registral de un derecho de uso y disfrute sobre el inmueble hipotecado.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8 de junio de 2018 se acordó despachar ejecución frente las sociedades demandadas. El citado auto y el decreto de la misma fecha que le sigue fueron comunicados a las citadas entidades a través de la sede judicial electrónica el día 13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entidad Penrei Inversiones, S.L., presentó escrito de oposición a la ejecución despachada con fecha 31 de julio de 2018. Por auto de 21 de septiembre de 2018 se acordó su inadmisión por presentación extemporánea tomando como fecha de notificación el 13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Alegó, en síntesis, que las actuaciones de notificación y requerimiento no habían sido realizadas el día 13 de junio de 2018 sino el 24 de julio de 2018 y que la comunicación remitida a través de la dirección electrónica habilitada no puede entenderse más que un aviso de puesta a disposición o descarga de su contenido durante un plazo determinado (en el caso desde el 13 de junio al 29 de julio de 2018) y entenderlo de otro modo, además de infringir los arts. 135, 152, 160, 162 de la Ley de enjuiciamiento civil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Tras su tramitación, el recurso fue desestimado por auto de 23 de abril de 2019. Según esta resolución, la recurrente tiene la condición de persona jurídica y, por tanto, está obligada a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y 373.3 LEC. Según el auto, “consta que la notificación se puso a disposición de las recurrentes en fecha 13/06/2018 no accediendo al contenido hasta el día 24/07/2018 (fuera de los tres días que establece la normativa procesal), presentando los escritos de oposición a la ejecución en fecha 31/07/2018 claramente fuera del plazo legalmente establecido en el art. 556.1 LEC (dentro de los diez días siguientes al de la notificación del auto despachando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la interpretación ofrecida en el auto objeto de impugnación, que se apoya en la Ley de procedimiento administrativo eludiendo las garantías exigibles para las notificaciones de un proceso judicial, cercena el derecho a la tutela judicial efectiva al privar a la recurrente del derecho a formular oposición en un proceso de ejecución hipotecaria. A tal fin, aduce que siguió la literalidad de las instrucciones contenidas en un correo electrónico que recibió procedente del servicio de notificaciones electrónicas, accediendo al contenido de la notificación dentro del plazo establecido en el mismo. El citado correo tiene el siguiente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recibido una Notificación del órgano emisor Juzgados y Tribunales (SGAJ) en la Dirección Electrónica Habilitada del titular Penrei Inversiones, S.L., – NIF B73836173.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Notificación estará disponible en su Dirección Electrónica Habilitada única desde el 13-06-2018 hasta el 29-07-2018. Si no procediera a su lectura en el plazo indicado se producirán los efectos correspondientes, según la normativa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que conste como leída, por favor acceda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http://notificaciones060.es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Asunto: ‘JDO. 1 INST. E INSTR. N 3 DE LORCA EHJ/000000102/2018’”.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entidad recurrente afirmando que las resoluciones impugnadas no han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intérprete, obligándole a promover la defensa mediante la correspondiente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alegando que la continuación de la ejecución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30 de septiembre de 2019 la Sección Primera de este tribunal acordó admitir a trámite el recurso de amparo y dirigir comunicación al Juzgado de Primera Instancia e Instrucción núm. 5 de Lorca, a fin de que, en el plazo de diez días, remitiera certificación o fotocopia adverada de las actuaciones correspondientes a los autos de ejecución hipotecaria y emplazara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7 de octubre de 2019 la parte demandante formuló sus alegaciones, reiterando lo dicho en el otrosí de su demanda y trascribiendo parte del ATC 287/2013, de 16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registrado el 17 de octubre de 2019, interesa que se acuerde la anotación preventiva de la demanda en el registro de la propiedad, aunque esta última medida no haya sido solicitada en el recurso de amparo. Tras exponer la doctrina de este tribunal sobre suspensión de resoluciones y actos impugnados, aduce que en el presente caso la suspensión no aparece muy fundamentada por la propia parte recurrente, resultando más eficaz la anotación preventiva de la demanda en el registro de la propiedad mediante la que se evitaría que un hipotético tercer adquirente del inmueble hipotecado quede especialmente protegido.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diligencia de ordenación de 8 de mayo de 2020 se acordó, conforme a lo dispuesto en el art. 56 LOTC, dar audiencia por tres días a Pera Assets Designated Activity Company, representada por la procuradora doña Blanca María Grande Pesquero, por haberse personado en las actuaciones principales. Esta parte ha presentado escrito en que solicita la denegación de la suspensión ya que, a su juicio, la demandante de amparo no ha acreditado ningún tipo de perjuicio que pueda considerarse irreparable.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372-2018 seguido en el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de acuerdo con el Ministerio Fiscal, que resulta improcedente la suspensión solicitada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con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2/2019, de 9 de enero, 88/2018, de 17 de septiembre, y 106/2017, de 17 de julio. Últimamente, en relación con la demandante de amparo y en los recursos que componen la serie en que se integra el presente, se han dictado en el mismo sentido, entre otros, los AATC 7/2020, de 27 de enero, y 26/2020, de 24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el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372-2018, seguido en el Juzgado de Primera Instancia e Instrucción núm. 5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junio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