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372-2018,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5 de Lorca en el procedimiento de ejecución hipotecaria núm. 372-2018, en fechas 21 de septiembre de 2018 y 23 de abril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8 de junio de 2018 se acordó despachar ejecución frente las sociedades demandadas. El citado auto y el decreto de la misma fecha que le sigue fueron comunicados a las citadas entidades a través de la sede judicial electrónica el día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31 de julio de 2018. Por auto de 21 de septiembre de 2018 se acordó su inadmisión por presentación extemporánea tomando como fecha de notificación el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Alegó, en síntesis, que las actuaciones de notificación y requerimiento no habían sido realizadas el día 13 de junio de 2018 sino el 24 de julio de 2018 y que la comunicación remitida a través de la dirección electrónica habilitada no puede entenderse más que un aviso de puesta a disposición o descarga de su contenido durante un plazo determinado (en el caso desde el 13 de junio al 29 de julio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23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“consta que la notificación se puso a disposición de las recurrentes en fecha 13/06/2018 no accediendo al contenido hasta el día 24/07/2018 (fuera de los tres días que establece la normativa procesal), presentando los escritos de oposición a la ejecución en fecha 31/07/2018 claramente fuera del plazo legalmente establecido en el art. 556.1 LEC (dentro de los diez días siguientes al de la notificación del auto despachando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13-06-2018 hasta el 29-07-2018.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EHJ/000000102/2018’”.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2019 la Sección Primera de este tribunal acordó admitir a trámite el recurso de amparo y dirigir comunicación al Juzgado de Primera Instancia e Instrucción núm. 5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7 de octubre de 2019 la parte demandante formuló sus alegaciones, reiterando lo dicho en el otrosí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17 de octubre de 2019, interesa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no aparece muy fundamentada por la propia parte recurrente, resultando más eficaz la anotación preventiva de la demanda en el registro de la propiedad mediante la que se evitaría que un hipotético tercer adquirente del inmueble hipotecado quede especialmente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8 de mayo de 2020 se acordó, conforme a lo dispuesto en el art. 56 LOTC, dar audiencia por tres días a Pera Assets Designated Activity Company, representada por la procuradora doña Blanca María Grande Pesquero, por haberse personado en las actuaciones principales. Esta parte ha presentado escrito en que solicita la denegación de la suspensión ya que, a su juicio, la demandante de amparo no ha acreditado ningún tipo de perjuicio que pueda considerarse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372-2018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 Últimamente, en relación con la demandante de amparo y en los recursos que componen la serie en que se integra el presente, se han dictado en el mismo sentido, entre otros, los AATC 7/2020, de 27 de enero, y 26/2020,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372-2018,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