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80</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julio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6093-2019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6093-2019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284-2018 seguido en el Juzgado de Primera Instancia e Instrucción núm. 5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25 de octubre de 2019, tuvo entrada en el registro general de este Tribunal Constitucional un escrito de la procuradora doña Blanca Berriatua Horta, en representación de la entidad Penrei Inversiones, S.L., por el que interpuso recurso de amparo contra el auto de 21 de septiembre de 2018 del Juzgado de Primera Instancia e Instrucción núm. 5 de Lorca, que inadmitió el escrito de oposición a la ejecución hipotecaria promovida por Banco de Sabadell, S.A.; y contra el auto del mismo juzgado, de 10 de septiembre de 2019, que desestimó el recurso de reposición interpuesto contra la anterior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21 de septiembre de 2018, el juzgado de primera instancia e instrucción ya indicado dictó un auto en el procedimiento de ejecución hipotecaria núm. 284-2018 por el que acordó: “Inadmitir a trámite la oposición formulada por la parte ejecutada Penrei Inversiones, S.L., Euro Inversiones Inmobiliarias Costa Sur, S.L., […] por estar presentada fuera de plazo”, advirtiendo en pie de recurso que contra dicha resolución cabía recurso de reposición.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basó su decisión, conforme a su fundamento de Derecho único, en lo siguiente: “Se establece en el artículo 134 LEC, la improrrogabilidad de los plazos establecidos en la misma, y en el artículo 136 LEC, que transcurrido o pasado el término señalado para la realización de un acto procesal de parte se producirá la preclusión y se perderá la oportunidad de realizar el acto de que se trate.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Establece el artículo 695 de la Ley de enjuiciamiento civil (LEC, que la parte ejecutada pueda oponerse al despacho de ejecución en los términos previstos en dicho artículo y en el plazo de diez días a contar desde el siguiente a la notificación del auto y del decreto. Constando en el presente supuesto que la parte ejecutada se ha opuesto una vez transcurrido el plazo que legalmente se le otorga, debe ser inadmitida su oposición por extemporánea, de conformidad con lo establecido en los preceptos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Formalizado contra dicho auto recurso de reposición por la entidad aquí demandante de amparo, el juzgado a quo dictó auto el 10 de septiembre de 2019 desestimándolo, con confirmación de la resolución recurrida, en virtud de los motivos expresados en su razonamiento jurídico segundo: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el presente caso, siendo indiscutible la condición de personas jurídicas de las recurrentes, las mismas desde el 1 de enero de 2017 (disposición transitoria cuarta de la Ley 42/2015, de 5 de octubre, de reforma de la Ley de enjuiciamiento civil) están obligadas a relacionarse con la administración de justicia por medios electrónicos (art. 14. 2 a) de la Ley 39/2015 del procedimiento administrativo común de las administraciones públicas (LPACAP) y art. 273.3 a)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afirmar que “[i]nterpretan las recurrentes de forma errónea la normativa aplicable”, con cita de los arts. 162.2 LEC, 33.2 y 34 de la Ley 18/2011, de 5 de julio, reguladora del uso de las tecnologías de la información y comunicación en la administración de justicia, y el art. 11.2 del Real Decreto 1065/2015, de 27 de noviembre, sobre comunicaciones electrónicas en la administración de justicia y en el ámbito territorial del Ministerio de justicia y por el que se regula el sistema LexNet; y referirse al acuerdo no jurisdiccional del Pleno de la Sala Cuarta del Tribunal Supremo de 6 de julio de 2016, acerca del cómputo del plazo de tres días del art. 162.2 LEC, así como a un informe del Colegio de Registradores de la Propiedad en relación con las notificaciones electrónicas, el juzgado señala: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consta que la notificación se puso a disposición de las recurrentes en fecha 09 de mayo de 2018 no accediendo al contenido hasta el día 24 de junio de 2018 (fuera de los diez días que establece la normativa procesal), presentando los escritos de oposición a la ejecución en fecha 09 de julio de 2018 claramente fuera del plazo legalmente establecido en el art. 556. 1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traía el siguiente pie de recurso: “Notifíquese esta resolución a las partes personadas, haciéndoles (sic) que es firme, y contra la misma no cabe recurso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las resoluciones judiciales impugnadas causan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tratándose de su primer emplazamiento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reconoce que si bien la recurrente, por ser una persona jurídica, viene por ello obligada a relacionarse con la administración de justicia a través de medios electrónicos, no obstante cuando es el primer emplazamiento y por tanto todavía aquélla “no ha tenido ninguna relación con el juzgado correspondiente en este especial y concreto procedimiento”, ha de practicarse mediante cédula con entrega en papel de la documentación correspondiente, conforme establece el art. 273 LEC, en relación con los arts. 135, 152, 162 y 155 de la misma Ley de enjuiciamiento civil. Este último, precisa, “es categórico al respecto ya que en su punto primero nos indica que cuando las partes no actúen representadas por procurador o se trate del primer emplazamiento o citación al demandado, los actos de comunicación se harán por remisión al domicilio de los litigantes”. Añade que incluso la notificación realizada tampoco cumple con las formalidades de las comunicaciones electrónicas. Pese a todo esto, el auto dictado por el juzgado el 21 de septiembre de 2018 declaró extemporánea la presentación del escrito de oposición, computando el plazo de diez días desde la fecha de envío de aquel correo a través de la dirección electrónica habilitada.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es importante hacer mención a la “recientísima sentencia del Tribunal Constitucional STC 47/2019, de 8 de abril de 2019, que no solo confirma todo lo dicho hasta ahora en el presente recurso de amparo, sino que lo refuerza, en el sentido de que en modo alguno debe entenderse que, tratándose del emplazamiento, este no se efectúe en el domicilio como impone el artículo 155.1 de la Ley de Enjuiciamiento Civil”, sin que a ello obste la argumentación dada por el auto que inadmite la oposición; pasando a reproducir pasajes de los fundamentos jurídicos 2 a 5 de dicha STC 47/2019.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el auto de 10 de septiembre de 2019 que desestimó la reposición, se rechaza por la recurrente que los preceptos citados por el juzgado fundamenten su decisión, en cuanto “no es menos cierto que, en ningún precepto de la Ley de enjuiciamiento civil se diga que al proceso civil se le aplican las normas del proceso administrativo, ni existe ningún precepto en ninguna otra norma que otorgue a la normativa del proceso administrativo el mismo rango o aplicabilidad que puedan tener la norma procesal civil, la penal, la contencioso-administrativa o la social, que disponen de regulación específica a través de normas concretas, puesto que, mientras la administrativa regula un tipo de procedimiento específico, las otras hacen referencia a procesos que se plantean ante tribunales de justicia, que aunque forman parte de la ‘administración’, tienen su normativa específica”.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se solicita que este Tribunal Constitucional, con estimación del amparo, acuerde la nulidad de ambas resoluciones judiciales y ordene reponer las actuaciones al momento previo al dictado de la primera de aquéllas, a fin de que el juzgado a quo admita a trámite la oposición al despacho de ejecución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un “segundo otrosí digo”, el escrito de demanda argumentó “que la continuación de la ejecución derivadas (sic) de los pronunciamientos judiciales que han sido objeto de impugnación, con la celebración de subasta y la eventual adjudicación a terceros, pueden hacer perder al recurso de amparo su finalidad, por lo que solicitó la suspensión de la continuación del procedimiento de ejecución hipotecaria 284-2018 seguido ante el Juzgado de Primer Instancia e Instrucción número 5 de Lorca, hasta tanto sea resuelto el presente recurso de amparo, poniéndolo en conocimiento del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secretaría de justicia de la Sección Cuarta, Sala Segunda, de este Tribunal Constitucional, dictó diligencia de ordenación el 30 de octubre de 2019 solicitando al juzgado a quo la remisión de certificación o fotocopia adverada de las actuaciones correspondientes del procedimiento de ejecución hipotecaria núm. 284-2018.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de este tribunal dictó providencia el 15 de junio de 2020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como consecuencia de que el órgano judicial pudiera haber incurrido en una negativa manifiesta del deber de acatamiento de la doctrina de este tribunal [STC 155/2009, FJ 2, f)].</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Constando testimonio de la ejecución hipotecaria núm. 284-18 del Juzgado de Primera Instancia e Instrucción número 5 de Lorca, en el recurso conexionado núm. 6079-19, y en aplicación de lo dispuesto en el art. 51 LOTC, diríjase atenta comunicación a dicho juzgado a fin de que, en plazo que no exceda de diez días, emplace, para que en el plazo de diez días puedan comparecer, si lo desean, en el presente recurso de amparo a quienes hubieran sido parte en el procedimiento, excepto la parte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Fórmese pieza separada para la tramitación del incidente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nueva providencia dictada por la Sección Cuarta de este tribunal en la misma fecha de la admisión del recurso, el 15 de junio de 2020, se dispuso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entidad recurrente presentó su escrito de alegaciones con fecha 24 de junio de 2020, interesando se acceda a lo solicitado en cuanto a la suspensión del procedimiento de ejecución hipotecaria referido.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efecto alega que la continuación de tal procedimiento, “con la celebración de subasta y la eventual adjudicación a terceros harían perder al recurso de amparo su finalidad y provocarían perjuicios patrimoniales para mi representada de imposible o difícil reparación”. Invoca a su favor lo resuelto por este tribunal en sus AATC 21/2018 de 5 de marzo, y 58/2018 de 4 de junio, reiterando a renglón seguido las vulneraciones constitucionales de fondo que aduce en su demanda, e indicando que de no adoptarse la medida y “seguir adelante la ejecución podría producirse la transmisión irrecuperable del dominio del bien inmueble, creando una situación difícilmente reversible que menoscabaría los fines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su parte, el fiscal ante este Tribunal Constitucional formalizó su escrito de alegaciones en esta pieza el 29 de junio de 2020, interesando que adoptemos únicamente la medida de anotación preventiva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cita del art. 56 LOTC y doctrina general sobre la procedencia de la suspensión del acto impugnado en amparo, señala que este tribunal ha establecido como criterio general, “que no procede suspender la ejecución de aquellos fallos judiciales que admiten la restitución íntegra de lo ejecutado (como de ordinario ocurre, aunque no sin excepciones, en las condenas de contenido patrimonial)”. Que no obstante ello, “tampoco las condenas de contenido patrimonial pueden quedar absolutamente marginadas de la posibilidad de suspenderse, habrá que valorar en estos casos, con especial énfasis que no se produzca perjuicio para el interés general, lo que normalmente no ocurrirá en los pleitos puramente civiles, y de manera más concreta que no se acabe implicando los derechos presentes o futuros de terceros que puedan acabar perjudicados”.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Aplicando la doctrina a la solicitud formulada por la recurrente, se entiende por el fiscal que la misma “no parece muy fundamentada […] ya que se limita a la mera petición sin explicitar ninguna razón. Acordar la suspensión solicitada comportaría la drástica medida que supondría la paralización del procedimiento ejecutivo, que por su propia naturaleza goza de las características de celeridad y sumariedad. Mucho más eficaz para conseguir el efecto protector deseado por la recurrente sería la anotación preventiva de la demanda de amparo en el registro de la propiedad, ya que de esta manera se daría publicidad frente a terceros de la pendencia del recurso, lo que conlleva el conocimiento de los efectos que sobre la titularidad de la vivienda puede tener el otorgamiento del amparo en su caso, evitando que el hipotético tercero adquirente queda (sic) especialmente protegido por su buena fe en la adquisición”.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no tiene dudas de que este tribunal puede acordar dicha medida, ex art. 56.3 LOTC, conforme tiene establecido nuestra doctrina, con cita del ATC 95/2015, de 25 de mayo, FJ 4. Entiende que “nos encontramos en uno de esos supuestos en que tratándose de un (sic) resolución de carácter patrimonial, no obstante puede acabar afectando a derechos futuros de terceros adquirentes de buena fe, por lo que de acuerdo con la doctrina de este tribunal, sería procedente la anotación preventiva de la demanda, que haría que lo que consta en el registro de la propiedad fuera fiel reflejo de la realidad, evitando situaciones cuya reversibilidad deviniera poco menos que imposible”.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284-2018 seguido en el Juzgado de Primera Instancia e Instrucción núm. 5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el carácter no 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25 de febrero, FJ 2; 74/2013, de 8 de abril, FJ 2; 152/2013, de 8 de julio, FJ 2; 37/2014, de 10 de febrero, FJ 2; 282/2014, de 17 de noviembre, FJ 3,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de la que se ha hecho mención permite concluir, de acuerdo con el fiscal, que resulta improcedente la suspensión solicitada y, por el contrario, aparece como medida idónea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dicha entidad mercantil, como tampoco sobre las características, destino y estado posesorio del inmueble hipotecado. En tales circunstancias, no es posible afirmar que la continuación del curso del procedimiento judicial, incluso con un desplazamiento posesorio, provoque por sí solo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hiciera irreivindicable; situación a la que se hace referencia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106/2017, de 17 de julio, FJ 3; 88/2018, de 17 de septiembre, FJ 5, y 2/2019, de 9 de enero, FJ 4; así como en el ATC 85/2019, de 15 de julio, donde se plantearon los mismos argumentos que aquí para solicitar la suspensión por la otra entidad ejecutada.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y que, de acuerdo con el ATC 95/2015, de 25 de mayo,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decisión en esta materia se limita, en tal sentido,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 en relación con el presente recurso de amparo instado por la entidad Penrei Inversiones, S.L.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284-2018 seguido en el Juzgado de Primera Instancia e Instrucción núm. 5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