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5128-2019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5128-2019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378-2018,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9 de septiembre de 2019, la entidad Penrei Inversiones, S.L., representada por la procuradora de los tribunales doña Blanca Berriatua Horta y bajo la dirección de la letrada doña Anju Nirmala Benavent Rodríguez, interpuso recurso de amparo contra los autos de 21 de septiembre de 2018 y de 25 de junio de 2019, dictados por el Juzgado de Primera Instancia e Instrucción núm. 5 de Lorca, en el procedimiento de ejecución hipotecaria núm. 378-2018, por los que, respectivamente, se inadmite por extemporánea la demanda de oposición formulada a la ejecución hipotecaria y se confirma aquella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Juzgado de Primera Instancia e Instrucción núm. 5 de Lorca se sigue procedimiento de ejecución hipotecaria núm. 378-2018 promovido por la entidad Banco de Sabadell, S.A., frente a las sociedades Euroinversiones Inmobiliarias Costa Sur, S.L., en calidad de prestataria e hipotecante, y Penrei Inversiones, S.L., en calidad de titular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Admitida a trámite la demanda y despachada la ejecución, el día 18 de junio de 2018 se notificó y requirió a ambas ejecutadas a través de la sede judicial electrónica, que en fecha 31 de julio de 2018 y 4 de septiembre de 2018 presentaron oposición a la ejecución hipotecaria aduciendo que la comunicación recibida el día 18 de junio no constituía, a su juicio, una notificación o requerimiento en legal forma sino solo un aviso de la puesta a disposición de una notificación electrónica que puede descargarse en un plazo determinado. El auto de 21 de septiembre de 2018 inadmitió la oposición a la ejecución, siendo confirmado en reposición por el auto de 25 de junio de 2019, que dispuso que, al ser indiscutible la condición de personas jurídicas de las recurrentes, “las mismas desde el 1 de enero de 2017 [disposición transitoria cuarta de la Ley 42/2015, de 5 de octubre, de reforma de la Ley de enjuiciamiento civil (LEC)] están obligadas a relacionarse con la administración de justicia por medios electrónicos [art. 14.2 a) de la Ley 39/2015 del procedimiento administrativo común de las administraciones públicas (LPACAP) y art. 273.3 a) de la LEC]”. Y resultando que la notificación “se puso a disposición de las recurrentes en fecha 18 de junio de 2018 no accediendo al contenido hasta el día 25 de julio de 2018 (fuera de los tres días que establece la normativa procesal), presentando los escritos de oposición a la ejecución en fecha 31 de julio de 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se trae,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con cita de la STC 47/2019, de 8 de abril, se queja en su recurso de amparo de la vulneración del art. 24.1 y 2 CE, al no haberle sido notificado con las debidas garantías, sin causar indefensión, el primer acto de comunicación procesal o emplazamiento con ocasión de la demanda de ejecución hipotecaria, otorgándose efecto a la remisión de un correo electrónico que carecería, a su parecer, de los requisitos esenciales para considerarlo un acto de notificación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con la interpretación ofrecida en las resoluciones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 tal y como reconoce la sentencia 37/1984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junio de 2020, la Sección Cuarta de este tribunal acordó admitir a trámite el recurso de amparo y dirigir comunicación al Juzgado de Primera Instancia e Instrucción núm. 5 de Lorca, a fin de que, en plazo que no excediera de diez días, emplazase a quienes hubieran sido parte en el proceso del que trae causa el presente recurso de amparo, excepto a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9 de julio de 2020, la parte demandante formuló sus alegaciones, reiterando lo expuesto en el otrosí de su demanda y trascribiendo como fundamento de su pretensión lo expresado en parte en el ATC 58/2018, de 4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15 de julio de 2020, el Ministerio Fiscal se opuso a la pretendida suspensión del procedimiento de ejecución hipotecaria, e interesó que, alternativamente, se acordase la anotación preventiva de la demanda de amparo en el registro de la propiedad. Tras exponer la doctrina de este tribunal sobre suspensión de resoluciones y actos impugnados, aduce que en el presente caso la petición del demandante no se funda en ninguna razón que permita afirmar que la continuación del procedimiento judicial, incluso con desplazamiento posesorio, provoque un perjuicio determinante de la perdida de la finalidad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suspensión cautelar instada por la parte recurrente en amparo y dirigida frente al procedimiento de ejecución hipotecaria núm. 378-2018,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59/2017, de 24 de abril, FJ 1; 177/2019, de 16 de diciembre, FJ 2, o, en fecha más próxima, ATC 27/2020, de 24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[entre otros muchos, AATC 190/2015, de 5 de noviembre, FJ 2 a); 59/2017, FJ 1; 147/2017, de 13 de noviembre, FJ 1, y 177/2019, FJ 2, o, recientemente, ATC 38/2020, de 9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(como los más recientes, AATC 282/2014, de 17 de noviembre, FJ 4; 59/2015, de 16 de marzo, FJ 2; 177/2019, FJ 2, o 30/2020, de 24 de febrero,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procesos de amparo precedentes,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si se produjera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378-2018,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