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6041-2019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6041-2019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351-2018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octubre de 2019 tuvo entrada en el registro general del Tribunal Constitucional un escrito de la procuradora doña Blanca Berriatua Horta, en representación de la entidad Euroinversiones Inmobiliarias Costa Sur, S.L., por el que interpuso recurso de amparo contra el auto de 16 de septiembre de 2019 del Juzgado de Primera Instancia e Instrucción núm. 4 de Lorca, que desestima el recurso de reposición interpuesto por la ahora actora frente al auto de 15 de noviembre de 2018, que inadmitió por extemporánea la demanda de oposición presentada en el seno de la ejecución hipotecaria 351-2018, promovida por Banco de Sabadell,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15 de noviembre de 2018, el Juzgado de Primera Instancia e Instrucción núm. 4 de Lorca dictó un auto en el procedimiento de ejecución hipotecaria núm. 351-2018 por el que acordó: “Inadmitir a trámite la oposición formulada por la parte ejecutada Euroinversiones Inmobiliarias Costa Sur, S.L., […], por estar presentada fuera de plazo”, advirtiendo en pie de recurso que contra dicha resolución cabía recurso de apelación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establece en el artículo 134 de la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de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16 de septiembre de 2019 desestimándolo, con confirmación de la resolución recurrida, en virtud de los motivos expresados en su fundamento de Derecho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señalar que para el cómputo del plazo de presentación de la oposición “debe tenerse en cuenta la fecha en la que efectivamente tuvo la parte posibilidad de acceder” a las resoluciones judiciales impugnadas, considera que en este caso “resulta la correcta recepción de la notificación en fecha 3 de julio de 2018, fecha en la que se materializó la “puesta a disposición” de la notificación correctamente y del propio documento resulta que pasaron más de tres días desde la misma sin que se hubiera accedido al contenido hasta el día 3 de agosto de 2018, por tanto, en aplicación estricta de lo dispuesto en el apartado segundo del art. 162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precluído la posibilidad de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“Contra este auto no cabe recurso alguno, sin perjuicio de reproducir la cuestión objeto de la reposición al recurrir, si fuera posible, la resolución definitiva (artículo 454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aquélla “no ha tenido ninguna relación con el juzgado correspondiente en este especial y concreto procedimiento”, ha de practicarse mediante cédula con entrega en papel de la documentación correspondiente, conforme establece el art. 273 de la Ley de enjuiciamiento civil (LEC), en relación con los arts. 135, 152, 162 y 155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15 de noviembre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 16 de septiembre de 2019, que desestimó la reposición, se reiteran los argumentos ya expuestos, que no fueron atendidos por el juzgado al dar por válida la notificación efectuada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aquéllas, a fin de que el juzgado a quo admita a trámite la “demanda de oposición al despacho de ejecución formulada por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351-2018 seguido ante el Juzgado de Primera Instancia e Instrucción núm. 4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20 de julio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toda vez que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obrando ya en esta Sala testimonio de las correspondientes actuaciones jurisdiccionales, diríjase atenta comunicación al Juzgado de Primera Instancia e Instrucción núm. 4 de Lorca a fin de que se proceda a emplazar a quienes hubieran sido parte en el procedimiento, excepto la parte recurrente en amparo, para que en el plazo de diez días puedan comparecer, si lo desean,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Fórmese la oportuna pieza separada para la tramitación de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el 20 de julio de 2020,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entidad recurrente presentó su escrito de alegaciones con fecha 30 de julio de 2020,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 harían perder al recurso de amparo su finalidad y provocarían perjuicios patrimoniales para mi representada de imposible o difícil reparación”. Tras reiterar los argumentos expuestos en la demanda de amparo, cita en apoyo de su pretensión lo resuelto por este tribunal en sus AATC 21/2018, de 5 de marzo; 58/2018, de 4 de junio, y 117/2018, de 29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ante este Tribunal Constitucional formalizó su escrito de alegaciones en esta pieza el 1 de septiembre de 2020,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citar el art. 56 de la Ley Orgánica del Tribunal Constitucional (LOTC), expone la doctrina de este tribunal sobre la cuestión planteada, concluyendo que ese precepto “responde, en definitiva, a criterios racionales de equilibrio entre los intereses del recurrente, los generales de la sociedad y los derechos de terceros, que en cada supuesto han de ser valorados”. Más en concreto, “dicha ponderación ha llevado a este tribunal a establecer, como criterio general, el de que no procede suspender la ejecución de aquellos fallos judiciales que admiten la restitución íntegra de lo ejecutado (como de ordinario ocurre, aunque no sin excepciones, en las condenas de contenido patrimonial). Por el contrario, cuando la condena entraña un perjuicio para los derechos fundamentales del recurrente en amparo de imposible o muy difícil reparación, como sucede, en principio, con las condenas a penas privativas de libertad y de derechos, entonces lo procedente será acordar la suspensión de las mismas siempre que concurran los demás requisitos establecidos por el art. 56 LOTC, esto es, que no se siga perturbación grave del interés general ni de los derechos fundamentales de un tercero. Pero tampoco las condenas de contenido patrimonial pueden quedar absolutamente marginadas de la posibilidad de suspenderse, sino que habrá que valorar en estos casos, con especial énfasis, que no se produzca perjuicio para el interés general, lo que normalmente no ocurrirá en los pleitos puramente civiles, y de manera más concreta, que no se acabe implicando los derechos presentes o futuros de terceros que puedan acabar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Ministerio Fiscal considera que la petición de suspensión solicitada comportaría “la drástica medida [de] paralización del procedimiento ejecutivo, que por su propia naturaleza goza de las características de celeridad y sumariedad”. Por ello, entiende que sería “mucho más eficaz […]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tercero adquirente quede especialmente protegido por su buena fe en la adquisición”. Cita en apoyo de su petición el art. 56.3 LOTC, que permite al tribunal adoptar toda medida que evite que el recurso de amparo pueda perder su finalidad, así como el ATC 95/2015, de 25 de mayo ,FJ 4, con reproducción parcial literal. Finaliza señalando que esta medida de anotación preventiva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351-2018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regulación ofrece una configuración de la suspensión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o justifique, ofreciendo un principio razonable de prueba, el carácter no reparable o la dificultad de la reparación de los perjuicios derivados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mencionada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un tercero de buena fe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entre otros, en los AATC 106/2017, de 17 de julio, FJ 3; 88/2018, de 17 de septiembre, FJ 5; 2/2019, de 9 de enero, FJ 4, o 177/2019,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[sus]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351-2018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