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123</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octubre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359-2018 seguido en el Juzgado de Primera Instancia e Instrucción núm. 4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6 de febrero de 2020, la entidad Euroinversiones Inmobiliaria Costa Sur, S.L., representada por la procuradora de los tribunales doña Blanca Berriatua Horta y bajo la dirección del letrado don Marcelino Gilabert García, interpuso recurso de amparo contra los autos dictados por el Juzgado de Primera Instancia e Instrucción núm. 4 de Lorca en el procedimiento de ejecución hipotecaria núm. 359-2018 en fechas 14 de noviembre de 2018 y 12 de diciembre de 2019 por los que, respectivamente, se inadmite por extemporánea la oposición a la ejecución hipotecaria y se confirma esta última decisión al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4 de Lorca se sigue procedimiento de ejecución hipotecaria núm. 359-2018, promovido por la entidad Banco de Sabadell, S.A., frente a las sociedades Euroinversiones Inmobiliarias Costa Sur, S.L., en calidad de prestataria e hipotecante, y Penrei Inversiones, S.L., en calidad de titular registral de un derecho de uso y disfrute sobre el inmueble hipotecado.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21 de junio de 2018 se acordó despachar ejecución frente a las sociedades demandadas. El citado auto y el decreto de la misma fecha que le sigue fueron comunicados a las citadas entidades a través de la sede judicial electrónica el día 26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entidad Euroinversiones Inmobiliaria Costa Sur, S.L., presentó escrito de oposición a la ejecución despachada con fecha 30 de agosto de 2018. Por auto de 14 de noviembre de 2018 se acordó su inadmisión por presentación extemporánea, tomando como fecha de notificación el 26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26 de junio de 2018 sino, en su caso, a partir de esa fecha y hasta el 11 de agosto de 2018, dado que la comunicación remitida a través de la dirección electrónica habilitada no puede entenderse más que un aviso de puesta a disposición o descarga de su contenido durante un plazo determinado (en el caso desde el 26 de junio al 11 de agosto de 2018) y entenderlo de otro modo, además de infringir los arts. 135, 152, 160, 162 de la Ley de enjuiciamiento civil (LEC), vulnera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recurso fue tramitado y resuelto por auto de 12 de diciembre de 2019 en sentido desestimatorio al constatar su condición de persona jurídica y la obligación que como tal tiene de relacionarse con la administración de justicia por medios electrónicos, de conformidad con lo previsto en la disposición transitoria cuarta de la Ley 42/2015, de 5 de octubre, de reforma de la Ley 1/2000, de 7 de enero, de enjuiciamiento civil así como en los arts. 14.2 Ley 39/2015 y el Real Decreto 1065/2015, de 27 de enero sobre comunicaciones electrónicas en la administración de justicia en el ámbito territorial del Ministerio de Justicia y por el que se regula el sistema LexNET; en su fundamento jurídico único concluye que “del propio documento núm. 1 aportado con el escrito interponiendo recurso de reposición y de las propias alegaciones vertidas por la recurrente, resulta la correcta recepción de la notificación en fecha 26 de junio de 2018, fecha en la que se materializó la “puesta a disposición” de la notificación correctamente y del propio documento resulta que pasaron más de tres días desde la misma sin que se hubiera accedido al contenido hasta el día 1 de agosto de 2018, por tanto, en aplicación estricta de lo dispuesto en el apartado segundo del art. 162 LEC, sin que se haya justificado por el recurrente una imposibilidad de acceder al sistema en este plazo. Por todo ello, debe ser desestimado el recurso interpuesto, al ser el auto recurrido plenamente ajustado a Derecho, al inadmitir un escrito que fue presentado fuera de plazo cuando ya había precluído la posibilidad de hacerlo.”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la interpretación ofrecida en el auto objeto de impugnación, que se apoya en la Ley de procedimiento administrativo común eludiendo las garantías exigibles para las notificaciones de un proceso judicial, cercena el derecho a la tutela judicial efectiva al privar a la recurrente del derecho a formular oposición en un proceso de ejecución hipotecaria. A tal fin, aduce que siguió la literalidad de las instrucciones contenidas en un correo electrónico que recibió procedente del servicio de notificaciones electrónicas, accediendo al contenido de la notificación dentro del plazo establecido en el mismo. El citado correo tiene el siguiente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notificación estará disponible en su dirección electrónica habilitada única desde el 26-06-2018 hasta el 11-08-2018. Si no procediera a su lectura en el plazo indicado se producirán los efectos correspondientes, según la normativa aplicable. Para que conste como leída, por favor acceda a http://notificaciones060.es Asunto: “JDO. 1 INST. E INSTR. N 4 DE LORCA EHJ/0000359/2018”.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la entidad recurrente afirmando que las resoluciones impugnadas no han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intérprete, obligándole a promover la defensa mediante la correspondiente contradicción”.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del procedimiento de ejecución hipotecaria alegando que la continuación de la ejecución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20 de julio de 2020 la Sección Primera de este tribunal acordó admitir a trámite el recurso de amparo y dirigir comunicación al Juzgado de Primera Instancia e Instrucción núm. 4 de Lorca, a fin de que, en el plazo de diez días, remitiera certificación o fotocopia adverada de las actuaciones correspondientes a los autos de ejecución hipotecaria y emplazara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28 de julio de 2020, la parte demandante formuló sus alegaciones, reiterando lo dicho en el otrosí de su demanda y trascribiendo parte de los AATC 21/2018, de 5 de marzo; 58/2018, de 4 de junio, y 117/2018, de 29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registrado el 1 de septiembre de 2020, interesa que se acuerde la anotación preventiva de la demanda en el registro de la propiedad, aunque esta última medida no haya sido solicitada en el recurso de amparo. Tras exponer la doctrina de este tribunal sobre suspensión de resoluciones y actos impugnados, considera que la aplicación al caso de dicha doctrina nos debe llevar a considerar que nos encontramos en uno de esos supuestos en que, de no adoptarse la medida de anotación preventiva de la demanda, la tutela que pudiera otorgarse por este tribunal no sería completa si se deja abierta la posibilidad de que la finca sea transmitida a un tercero de buena fe mientras se sustancia y resuelve el presente recurso de amparo, por lo que interesa la anotación preventiva de la demanda en el registro de la propiedad, evitando así situaciones cuya reversibilidad sería imposible.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Al haberse personado en las actuaciones principales del recurso de amparo 691-2020 la procuradora de los tribunales doña María Claudia Munteanu, en nombre y representación de la entidad Pera Assets Designated Activity Company, de conformidad con lo prevenido en el art. 56 LOTC, por diligencia de ordenación del secretario de justicia de la Sala Primera de 14 de septiembre de 2020, se concede un plazo de tres días a dicha parte, para que dentro de ese término alegue lo que estime pertinente en relación con la petición de suspensión interesada por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presentado el 21 de septiembre de 2020, la procuradora de los tribunales doña María Claudia Munteanu, en nombre y representación de Pera Assets Designated Activity Company presentó su escrito de alegaciones en el que se opone a la suspensión. Tras reproducir distintos autos del Tribunal Constitucional en los que se deniegan las suspensiones interesadas, señala que la recurrente se limita a solicitar la suspensión sin acreditar ningún tipo de perjuicio que pueda considerarse irreparable, teniendo como única finalidad la de entorpecer y demorar el procedimiento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359-2018, seguido en el Juzgado de Primera Instancia e Instrucción núm. 4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recurridos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de acuerdo con el Ministerio Fiscal, que resulta improcedente la suspensión solicitada y, por el contrario, es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tales circunstancias, no es posible afirmar que la continuación del curso del procedimiento judicial, incluso con un desplazamiento posesorio, provoque por sí sola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88/2018, de 17 de septiembre, y 2/2019, de 9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359-2018 seguido en el Juzgado de Primera Instancia e Instrucción núm. 4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octubre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