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7580-2019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7580-2019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de títulos no judiciales núm. 172-2015 seguido en el Juzgado de Primera Instancia núm. 4 de Gavá.</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diciembre de 2019, don Hugo Martín Francisco Ravanelli, representado por el procurador de los tribunales don José Noguera Chaparro, bajo la dirección de la letrada doña Susana Beatriz Natale Romasco, interpuso recurso de amparo contra el auto del Juzgado de Primera Instancia núm. 4 de Gavá de 14 de noviembre de 2019, pronunciado en el procedimiento de ejecución de títulos no judiciales núm. 172-2015.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el recurrente solicita la suspensión del procedimiento de ejecución que se dirige contra él de manera solidaria como avalista de una póliza de crédito, señalando que “desde el inicio de esta ejecución se han dictado órdenes de anotación preventiva de embargo contra la finca que constituye su vivienda habitual, como así también ha sido incluido en ficheros de morosos impidiendo su acceso al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17 de septiembre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 los recurrentes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14 de octubre de 2020, presentó alegaciones interesando que se proceda a la anotación preventiva de la demanda en protección frente a eventuales terceros adquirentes de buena fe que hicieran irreivindicable el bien inmueble ya adjudicado a la parte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 de octubre de 2020, presentó alegaciones insistiendo en que se le está causando un perjuicio irreparable por haberse acordado ya la anotación preventiva de embargo por diligencia de ordenación de 16 enero de 2019 sobre el inmueble que constituye su vivienda habitual y porque desde un primer momento se ha visto privado del acceso al crédito por su inclusión en un fichero de morosos.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el demandante en amparo consistente en que se suspenda el procedimiento de ejecución de títulos no judiciales en la medida en que ya se ha acordado la anotación preventiva de embargo sobre un inmueble de su titularidad que constituye su domicilio habitual y porque ha existido una anotación en un registro de impagados.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(LOTC) dispone que la interposición de un recurso de amparo no suspenderá los efectos del acto o sentencia impugnados y el art. 56.2 LOTC concreta que podrá acordarse la suspensión cuando su ejecución “produzca un perjuicio al recurrente que pudiera hacer perder al amparo su finalidad”. Se establece como limitación a esta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(ii) la acreditación del perjuicio es carga del recurrente, quien debe precisar los concretos perjuicios que de la ejecución se deriven, así como justificar o argumentar razonadamente la irreparabilidad de los mismos; el perjuicio irreparable debe ser real, sin que sea posible alegar un perjuicio futuro o hipotético o un simple temor; y la pérdida de la finalidad del amparo no puede equipararse a la mayor o menor dificultad, molestia o incomodidad para el recurrente; y (iii) en lo que se refiere a la ejecución de los pronunciamientos con efectos fundamentalmente patrimoniales o de contenido económico, este Tribunal ha consagrado que, con carácter general, ni causan un perjuicio irreparable al obligado al pago, ni pueden hacer perder al amparo su finalidad, al ser posible la restitución íntegra de lo ejecutado (así, por ejemplo, ATC 97/2019, de 16 de septiembre, FJ 1). A estos efectos, este tribunal ha reiterado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 (así, entre los últimas, AATC 21/2018, de 5 de marzo, FJ 3, o 58/2018,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suspensión que se solicita es de exclusivo carácter económico, ya que lo es en relación con un procedimiento de ejecución de títulos no judiciales, en que se ha acordado el embargo en cuanto al 100 por 100 de pleno dominio con carácter ganancial y también se alegan los eventuales daños patrimoniales derivados de la inclusión en un registro de impagados; este aspecto no está debidamente acreditado. En estas circunstancias, si bien el embargo ha sido acordado sobre un bien que constituye el domicilio particular del recurrente, el hecho de que se trate de un embargo que no alcanza a la totalidad del bien por su carácter ganancial y que no se haya acordado su subasta sino una mera anotación preventiva de embargo, pone de manifiesto que no existe un riesgo inminente respecto de la transmisión de su dominio que pudiera consolidar una posición jurídicamente inatacable o de muy difícil y costoso restablecimiento. De ese modo, tal como también informa el Ministerio Fiscal, el tribunal considera que lo procedente es acordar la medida cautelar de anotación preventiva de la demanda de amparo en el registro de la propiedad, al ser una medida idónea para evitar el eventual perjuicio derivado de que la adquisición del bien por tercero lo hiciera irreivindicable, lo que es una solución acogida recientemente, entre otros, en los AATC 106/2017, de 17 de julio, FJ 3; 88/2018, de 17 de septiembre, FJ 5; 2/2019, de 9 de enero, FJ 4; y 85/2019, de 15 de julio, a propósito de otros procedimientos ejecutivos.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decisión queda limitada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se deniega la suspensión solicitada por tener un exclusivo contenido económico tanto la anotación de embargo como la supuesta inclusión de la deuda del recurrente en un registro de impagados no susceptibles en este momento de generar perjuicios irreparables, pero se acuerda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de títulos no judiciales núm. 172-2015 seguido en el Juzgado de Primera Instancia núm. 4 de Gavá.</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