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7506-2019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7506-2019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372-2018,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26 de diciembre de 2019, la entidad Euroinversiones Inmobiliarias Costa Sur, S.L., representada por la procuradora de los tribunales doña Blanca Berriatua Horta y bajo la dirección del letrado don Marcelino Gilabert García, interpuso recurso de amparo contra los autos de 27 de noviembre de 2018 y de 30 de octubre de 2019, dictados por el Juzgado de Primera Instancia e Instrucción núm. 4 de Lorca, en el procedimiento de ejecución hipotecaria núm. 372-2018,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372-2018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43317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27 de junio de 2018 se acordó despachar ejecución frente las sociedades demandadas por la cantidad de 8877,50 € de principal y 4510 €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29 de junio de 2018. En dicha comunicación se informa que la notificación estará disponible hasta el 31 de agosto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con fecha 31 de agosto de 2018. Por auto de 27 de noviembre de 2018 se acordó su inadmisión por considerar la pretensión extemporánea, tomando como fecha de notificación el 29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29 de junio de 2018, sino el 3 de agosto,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29 de junio hasta el 31 de agosto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30 de octubre de 2019. Según esta resolución, la recurrente tiene la condición de persona jurídica y, por tanto, está obligada a relacionarse con la administración de justicia por medios electrónicos. “Así, pese a las alegaciones del recurrente que pretende mantener que el escrito de oposición fue presentado en plazo para ello por entender que el auto despachando la ejecución y el requerimiento efectuado debe entenderse notificado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junio de 2020 la Sección Segunda de este tribunal acordó no admitir a trámite el recurso de amparo por no apreciar en el mismo la especial trascendencia constitucional que, como condición para su admisión, requiere el art. 50.1 b) de la Ley Orgánica del Tribunal Constitucional (LOTC) (STC 155/2009, de 25 de junio, FJ 2). Dicha providencia se dejó sin efecto en virtud del auto de 18 de septiembre de 2020 que estimó el recurso de súplica interpuesto contra la misma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sendas providencias de 21 de septiembre de 2020 la Sección Segunda de este tribunal acordó admitir a trámite el recurso de amparo y dirigir comunicación al Juzgado de Primera Instancia e Instrucción núm. 4 de Lorca, a fin de que, en plazo que no exceda de diez días, remitiera certificación o fotocopia adverada de las actuaciones correspondientes a los autos de ejecución hipotecaria y emplazara por el mismo plazo a quienes hubieran sido parte en el proceso del que trae causa el presente recurso de amparo; por otra parte se acordaba formar pieza separada para la tramitación de la suspensión del procedimiento de ejecución hipotecaria solicitada en el recurso y conceder plazo común de tres días al Ministerio Fiscal y al solicitante de amparo de conformidad con lo prevenido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7 de octubre de 2020 la parte demandante formuló sus alegaciones, reiterando lo expuesto en el otrosí de su demanda y trascribiendo como fundamento de su pretensión lo expresado en parte de los AATC 21/2018, de 5 de marzo, 58/2018, de 4 de junio y 117/2018,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22 de octubre de 2020, el Ministerio Fiscal se opuso a la pretendida suspensión del procedimiento de ejecución hipotecaria, e interesó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la petición del demandante no parece muy fundada, sostiene que acordar la suspensión comportaría la paralización del procedimiento ejecutivo, que por su propia naturaleza goza de las características de celeridad y sumariedad. Considera mucho más eficaz la anotación preventiva de la demanda en el registro de la propiedad, pues a través de dicha medida cautelar es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372-2018,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FJ 1; 147/2017, de 13 de noviembre, FJ 1, y 177/2019,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282/2014, de 17 de noviembre, FJ 4; 59/2015, de 16 de marzo, FJ 2, y 177/2019,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148/2019, 155/2019 y 156/2019, de 25 de noviembre, FJ 3, y 170/2019, 171/2019, 173/2019, 174/2019 y 177/2019 de 16 de diciembre, FJ 3),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al solicitarse el amparo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 Esta misma ha sido la solución acogida recientemente, entre otros, en los AATC 148/2019, 155/2019 y 156/2019, FJ 3, y 170/2019, 171/2019, 173/2019, 174/2019 y 177/2019,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hicimos en el fundamento tercero de los mencionados autos,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372-2018,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