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7513-2019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7513-2019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358-2018,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26 de diciembre de 2019, la entidad Euroinversiones Inmobiliarias Costa Sur, S.L., representada por la procuradora de los tribunales doña Blanca Berriatua Horta y bajo la dirección del letrado don Marcelino Gilabert García, interpuso recurso de amparo contra los autos de 14 de noviembre de 2018 y de 30 de octubre de 2019, dictados por el Juzgado de Primera Instancia e Instrucción núm. 4 de Lorca, en el procedimiento de ejecución hipotecaria núm. 358-2018,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358-2018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43.278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18 de junio de 2018 se acordó despachar ejecución frente las sociedades demandadas por la cantidad de 8 199,12 € de principal y 2 459,73 €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20 de junio de 2018. En dicha comunicación se informa que la notificación estará disponible hasta el 31 de agosto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27 de agosto de 2018. Por auto de 14 de noviembre de 2018 se acordó su inadmisión por considerar la pretensión extemporánea, tomando como fecha de notificación el 20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20 de junio de 2018, sino el 27 de julio, la fecha en que accedió a la web y procedió a su descarga, y que la comunicación remitida a través de la dirección electrónica habilitada no puede entenderse más que un aviso de puesta a disposición o descarga de su contenido durante un plazo determinado (en el caso desde el 20 de junio hasta el 5 de agosto de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30 de octubre de 2019. Según esta resolución, la recurrente tiene la condición de persona jurídica y, por tanto, está obligada a relacionarse con la administración de justicia por medios electrónicos. “Así, pese a las alegaciones del recurrente que pretende mantener que el escrito de oposición fue presentado en plazo para ello por entender que el auto despachando la ejecución y el requerimiento efectuado debe entenderse notificado en fecha 27 de julio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 Justifica la especial trascendencia constitucional aludiendo a la novedosa implantación de procesos de notificación por medios electrónicos en el ámbito de la jurisdicción civil en relación con las exigencias procesales derivadas de la regulación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junio de 2020 la Sección Segunda de este tribunal acordó no admitir a trámite el recurso de amparo por no apreciar en el mismo la especial trascendencia constitucional que, como condición para su admisión, requiere el art. 50.1 b) de la Ley Orgánica del Tribunal Constitucional (STC 155/2009, de 25 de junio, FJ 2). Dicha providencia se dejó sin efecto en virtud del auto de 18 de septiembre de 2020 que estimó el recurso de súplica interpuesto contra la misma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sendas providencias de 21 de septiembre de 2020 la Sección Segunda de este tribunal acordó admitir a trámite el recurso de amparo y dirigir comunicación al Juzgado de Primera Instancia e Instrucción núm. 4 de Lorca, a fin de que, en plazo que no exceda de diez días, remitiera certificación o fotocopia adverada de las actuaciones correspondientes a los autos de ejecución hipotecaria y emplazara por el mismo plazo a quienes hubieran sido parte en el proceso del que trae causa el presente recurso de amparo; por otra parte se acordaba formar pieza separada para la tramitación de la suspensión del procedimiento de ejecución hipotecaria solicitada en el recurso y conceder plazo común de tres días al Ministerio Fiscal y al solicitante de amparo de conformidad con lo prevenido en el art. 56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7 de octubre de 2020 la parte demandante formuló sus alegaciones, reiterando lo expuesto en el otrosí de su demanda y trascribiendo como fundamento de su pretensión lo expresado en parte de los AATC 21/2018, de 5 de marzo, 58/2018, de 4 de junio, y 117/2018, de 29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22 de octubre de 2020, el Ministerio Fiscal se opuso a la pretendida suspensión del procedimiento de ejecución hipotecaria, e interesó que, alternativamente, se acuerde la anotación preventiva de la demanda de amparo en el registro de la propiedad, aunque esta última medida no haya sido solicitada en el recurso. Tras exponer la doctrina de este tribunal sobre suspensión de resoluciones y actos impugnados, aduce que en el presente caso la petición del demandante no parece muy fundada, sostiene que acordar la suspensión comportaría la paralización del procedimiento ejecutivo, que por su propia naturaleza goza de las características de celeridad y sumariedad. Considera mucho más eficaz la anotación preventiva de la demanda en el registro de la propiedad, pues a través de dicha medida cautelar es posible evitar que un hipotético tercer adquirente del inmueble hipotecado, en virtud de su buena fe registral, quede especialmente protegido, perjudicando así los intereses concernidos.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358-2018,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y 177/2019,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FJ 1; 147/2017, de 13 de noviembre, FJ 1, y 177/2019,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282/2014, de 17 de noviembre, FJ 4; 59/2015, de 16 de marzo, FJ 2, y 177/2019,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(AATC 81/2019, de 15 de julio; 148/2019, 155/2019 y 156/2019, de 25 de noviembre, FJ 3, y 170/2019, 171/2019, 173/2019, 174/2019 y 177/2019 de 16 de diciembre, FJ 3),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al solicitarse el amparo el procedimiento se encontraba en la fase inicial, una vez rechazada la oposición a la ejecución. En tales circunstancias no es posible afirmar que la continuación del curso del procedimiento judicial, incluso si se produjera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 Esta misma ha sido la solución acogida recientemente, entre otros, en los AATC 148/2019, 155/2019 y 156/2019, FJ 3, y 170/2019, 171/2019, 173/2019, 174/2019 y 177/2019,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hicimos en el fundamento tercero de los mencionados autos, 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358-2018,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