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153</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7132-2019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7132-2019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368-2018 seguido en el Juzgado de Primera Instancia e Instrucción núm. 4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10 de diciembre de 2019, tuvo entrada en el registro general de este Tribunal Constitucional un escrito de la procuradora doña Blanca Berriatua Horta, en representación de la entidad Euroinversiones Inmobiliarias Costa Sur, S.L., por el que interpuso recurso de amparo contra el auto de 15 de noviembre de 2018 del Juzgado de Primera Instancia e Instrucción núm. 4 de Lorca, que inadmitió el escrito de oposición a la ejecución hipotecaria promovida por Banco de Sabadell, S.A., y contra el auto del mismo juzgado, de 24 de octubre de 2019, que desestimó el recurso de reposición interpuesto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15 de noviembre de 2018, el juzgado de primera instancia e instrucción ya indicado dictó un auto en el procedimiento de ejecución hipotecaria núm. 368-2018 por el que acordó: “Inadmitir a trámite la oposición formulada por la parte ejecutada Euroinversiones Inmobiliarias Costa Sur, S.L., […] por estar presentada fuera de plazo”, advirtiendo en pie de recurso que contra dicha resolución cabía recurso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basó su decisión, conforme a su fundamento de Derecho único, 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establece en el artículo 134 de la LEC, la improrrogabilidad de los plazos establecidos en la misma, y en el artículo 136 de la LEC, que transcurrido o pasado el término señalado para la realización de un acto procesal de parte se producirá la preclusión y se perderá la oportunidad de realizar el acto de que se trate.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Establece el artículo 695 de la LEC, que la parte ejecutada pueda oponerse al despacho de ejecución en los términos previstos en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Formalizado contra dicho auto recurso de reposición por la entidad aquí demandante de amparo, el juzgado a quo dictó auto el 24 de octubre de 2019 desestimándolo, con confirmación de la resolución recurrida, en virtud de los motivos expresados en su razonamiento jurídico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Debe ser desestimado el recurso de reposición interpuesto por ser el auto por recurrido conforme a la normativa procesal vigente en materia de oposición a la ejecución (artículos 556.1 LEC y concordantes) y de actos de comunicación. Así, pese a las alegaciones del recurrente que pretende mantener que el escrito de oposición fue presentado en plazo para ello por entender que el auto despachando la ejecución y el requerimiento efectuado deben entenderse notificados en fecha 3 de agosto de 2018, en la que se accedió efectivamente a las citadas resoluciones, lo cierto es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artículos citados como infringidos por la parte recurrente (arts. 135, 152, 162 y 273 y siguientes de la LEC) han sido perfectamente respetados en el presente procedimiento. La propia parte recurrente afirma estar obligada a utilizar los medios electrónicos en sus comunicaciones con el juzgado y afirma que la notificación se remitió a la dirección de correo electrónico ‘habilitada’ del titular a las que se refiere el art. 162 de la LEC, que tiene carácter de norma especial, destinada a regular los actos de comunicación por medios electrónicos o similares. No existiendo discusión ni duda acerca de la aplicabilidad de dicho precepto, al reconocer la propia recurrente la obligatoriedad en el uso de dichos medios en las relaciones con la Administración de Justicia, se llega a la conclusión de que lo dispuesto en el mismo es claro y ha sido respetado. Del propio documento núm. 1 aportado con el escrito interponiendo recurso de reposición y de las propias alegaciones vertidas por la recurrente, resulta la correcta recepción de la notificación en fecha 27/06/2018, fecha en la que se materializó la ‘puesta a disposición’ de la notificación correctamente y del propio documento resulta que pasaron más de tres días desde la misma sin que se hubiera accedido al contenido hasta el día 3 de agosto de 2018, por tanto, en aplicación estricta de lo dispuesto en el apartado segundo del art. 162 de la LEC, sin que se haya justificado por el recurrente una imposibilidad de acceder al sistema en este plazo. Por todo ello debe ser desestimado el recurso interpuesto, al ser el auto recurrido plenamente ajustado a Derecho, al inadmitir un escrito que fue presentado fuera de plazo cuando ya había precluido la posibilidad de hacerlo”.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traía el siguiente pie de recurso: “Contra este auto no cabe recurso alguno, sin perjuicio de reproducir la cuestión objeto de la reposición al recurrir, si fuera posible, la resolución definitiva (artículo 454 de la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causan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tratándose de su primer emplazamiento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reconoce que si bien la recurrente, al ser una persona jurídica, viene por ello obligada a relacionarse con la administración de justicia a través de medios electrónicos, no obstante cuando es el primer emplazamiento y por tanto todavía aquella “no ha tenido ninguna relación con el juzgado correspondiente en este especial y concreto procedimiento”, ha de practicarse mediante cédula con entrega en papel de la documentación correspondiente, conforme establece el art. 273 LEC, en relación con los arts. 135, 152, 162 y 155 de la misma LEC. Este último, precisa, “es categórico al respecto ya que en su punto primero nos indica que cuando las partes no actúen representadas por procurador o se trate del primer emplazamiento o citación al demandado, los actos de comunicación se harán por remisión al domicilio de los litigantes”. Añade que incluso la notificación realizada tampoco cumple con las formalidades de las comunicaciones electrónicas. Pese a todo esto, el auto dictado por el juzgado el 21 de septiembre de 2018 declaró extemporánea la presentación del escrito de oposición, computando el plazo de diez días desde la fecha de envío de aquel correo a través de la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es importante hacer mención a la “recientísima sentencia del Tribunal Constitucional STC 47/2019, de 8 de abril de 2019, que no solo confirma todo lo dicho hasta ahora en el presente recurso de amparo, sino que lo refuerza, en el sentido de que en modo alguno debe entenderse que, tratándose del emplazamiento, este no se efectúe en el domicilio como impone el artículo 155.1 de la Ley de enjuiciamiento civil”, sin que a ello obste la argumentación dada por el auto que inadmite la oposición; pasando a reproducir pasajes de los fundamentos jurídicos 2 a 5 de dicha STC 47/2019.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auto de 24 de octubre de 2019 que desestimó la reposición, se rechaza por la recurrente que los preceptos citados por el juzgado fundamenten su decisión, en cuanto “no es menos cierto que, en ningún precepto de la Ley de enjuiciamiento civil se diga que al proceso civil se le aplican las normas del proceso administrativo, ni existe ningún precepto en ninguna otra norma que otorgue a la normativa del proceso administrativo el mismo rango o aplicabilidad que puedan tener la norma procesal civil, la penal, la contencioso-administrativa o la social, que disponen de regulación específica a través de normas concretas, puesto que, mientras la administrativa regula un tipo de procedimiento específico, las otras hacen referencia a procesos que se plantean ante Tribunales de Justicia, que aunque forman parte de la ‘administración’, tienen su normativa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solicita que este Tribunal Constitucional, con estimación del amparo, acuerde la nulidad de ambas resoluciones judiciales y ordene reponer las actuaciones al momento previo al dictado de la primera de aquellas, a fin de que el juzgado a quo admita a trámite la oposición al despacho de ejecución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 de los pronunciamientos judiciales que han sido objeto de impugnación, con la celebración de subasta y la eventual adjudicación a terceros, puede hacer perder al recurso de amparo su finalidad”, por lo que solicita “la suspensión de la continuación del procedimiento de ejecución hipotecaria 368-2018 seguido ante el Juzgado de Primera Instancia e Instrucción número 4 de Lorca, hasta tanto sea resuelto el presente recurso de amparo, poniéndolo en conocimiento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la Secretaría de Justicia de la Sección Cuarta, Sala Segunda, de este Tribunal Constitucional, se solicitó al juzgado a quo la remisión de certificación o fotocopia adverada de las actuaciones correspondientes del procedimiento de ejecución hipotecaria núm. 368-2018.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 este tribunal dictó providencia el 4 de noviembre de 2020 del siguiente tenor: “La Sección Cuarta, ha examinado el recurso de amparo y ha acordado admitirlo a trámite, apreciando que concurre en el mismo una especial trascendencia constitucional (art. 50.1 LOTC) por los siguientes motivos: 1.- El recurso plantea un problema o afecta a una faceta de un derecho fundamental sobre el que no hay doctrina de este tribunal [STC 155/2009, FJ 2 a)]. 2.- El recurso puede dar ocasión al Tribunal para aclarar o cambiar su doctrina, como consecuencia de cambios normativos relevantes para la configuración del contenido del derecho fundamental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habiéndose interesado anteriormente la remisión de copia testimoniada de la ejecución hipotecaria 368-2018, en aplicación de lo dispuesto en el artículo 51 de la Ley Orgánica de este Tribunal, diríjase atenta comunicación al Juzgado de Primera Instancia e Instrucción núm. 4 de Lorca a fin de que, en plazo que no exceda de diez días, se proceda a emplazar a quienes hubieran sido parte en el procedimiento, excepto la parte recurrente en amparo, para que, si lo desean, puedan comparecer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nueva providencia dictada por la Sección Cuarta de este tribunal en la misma fecha de la admisión del recurso, el 4 de noviembre de 2020,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entidad recurrente presentó su escrito de alegaciones con fecha 12 de noviembre de 2020, interesando se acceda a lo solicitado en cuanto a la suspensión del procedimiento de ejecución hipotecaria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alega que la continuación de tal procedimiento, “con la celebración de subasta y la eventual adjudicación a terceros haría perder al recurso de amparo su finalidad y provocaría perjuicios patrimoniales para mi representada de imposible o difícil reparación”. Invoca a su favor lo resuelto por este tribunal en sus AATC 21/2018, de 5 de marzo, y 58/2018, de 4 de junio, reiterando a renglón seguido las vulneraciones constitucionales de fondo que aduce en su demanda, e indicando que de no adoptarse la medida y “seguir adelante la ejecución podría producirse la transmisión irrecuperable del dominio del bien inmueble, creando una situación difícilmente reversible que menoscabaría los fines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fiscal ante este Tribunal Constitucional formalizó su escrito de alegaciones en esta pieza el 17 de noviembre de 2020, interesando que adoptemos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cita del art. 56 de la Ley Orgánica del Tribunal Constitucional (LOTC) y doctrina general sobre la procedencia de la suspensión del acto impugnado en amparo, con cita del ATC 227/1999, de 27 de octubre, FFJJ 2 y 3, y otras resoluciones anteriores, en el sentido de que lo procedente es acordar solamente la suspensión cuando de no hacerlo se producirían perjuicios para los derechos fundamentales de imposible o muy difícil reparación, señala el escrito que, “en el presente caso, la petición de suspensión del procedimiento ejecutivo no parece muy fundamentada por la propia recurrente, ya que se limita a la mera petición sin explicitar ninguna razón salvo la mera pérdida de finalidad del recurso en el caso de que llegara a celebrarse la subasta de los bienes inmuebles en conflicto y su adjudicación a un tercero que actuaría de buena fe. Acordar la suspensión solicitada comportaría la drástica medida que supondría la paralización del procedimiento ejecutivo, que por su propia naturaleza goza de las características de celeridad y sumariedad”.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cambio, prosigue diciendo: “Mucho más eficaz para conseguir el efecto protector deseado por la recurrente sería la anotación preventiva de la demanda de amparo en el registro de la propiedad, ya que de esta manera se daría publicidad frente a terceros de la pendencia del recurso, lo que conlleva el conocimiento de los efectos que sobre la titularidad de la vivienda puede tener el otorgamiento del amparo en su caso, evitando que el hipotético tercero adquirente quede especialmente protegido por su buena fe en la adquisición”. Añade que la medida puede acordarla este tribunal ex art. 56.3 LOTC, con cita del ATC 95/2015, de 25 de mayo, FJ 4, y que “nos encontramos en uno de esos supuestos en que tratándose de un resolución de carácter patrimonial, no obstante puede acabar afectando a derechos futuros de terceros adquirentes de buena fe, por lo que de acuerdo con la doctrina de este tribunal, sería procedente la anotación preventiva de la demanda, que haría que lo que consta en el registro de la propiedad fuera fiel reflejo de la realidad,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368-2018 seguido en el Juzgado de Primera Instancia e Instrucción núm. 4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 así como en el ATC 85/2019, de 15 de julio, donde se plantearon los mismos argumentos que aquí para solicitar la suspensión por la otra entidad ejecutada.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 en relación con el presente recurso de amparo instado por la entidad Euroinversiones Inmobiliarias Costa Sur, S.L.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368-2018 seguido en el Juzgado de Primera Instancia e Instrucción núm. 4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