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154</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noviembre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7508-2019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7508-2019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367-2018 seguido en el Juzgado de Primera Instancia e Instrucción núm. 4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26 de diciembre de 2019, la procuradora de los tribunales doña Blanca Berriatua Horta, en nombre y representación de la entidad Euroinversiones Inmobiliarias Costa Sur, S.L., y bajo la dirección del letrado don Marcelino Gilabert García, interpuso recurso de amparo contra el auto del Juzgado de Primera Instancia e Instrucción núm. 4 de Lorca de 30 de octubre de 2019, por el que se desestima el recurso de reposición interpuesto contra el auto de 14 de diciembre de 2018, por el que se inadmite el escrito de oposición a la ejecución hipotecaria en el procedimiento de ejecución hipotecaria núm. 367-2018.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del procedimiento de ejecución hipotecaria alegando que “la continuación de la ejecución derivada de los pronunciamientos judiciales que han sido objeto de impugnación, con la celebración de subasta y la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por sendas providencias de 15 de octubre de 2020, acordó, en la primera, entre otros aspectos, la admisión a trámite de la demanda de amparo y la formación de pieza separada para la sustanciación del incidente de suspensión; y, en la segunda, formar la oportuna pieza para la tramitación del incidente sobre suspensión y conceder al recurrente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5 de noviembre de 2020, presentó alegaciones interesando que se deniegue la suspensión pero que se acuerde la anotación preventiva de la demanda de amparo, argumentando que la petición no aparece muy fundamentada y que el efecto protector deseado por la entidad demandante frente a la posible adjudicación a un tercero de buena fe del bien subastado se obtendría de manera mucho más eficaz mediante la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entidad demandante, por escrito registrado el 28 de octubre de 2020, presentó alegaciones reiterando su solicitud de suspensión, insistiendo en que con la celebración de subasta y la eventual adjudicación a terceros o a la entidad ejecutante el recurso de amparo perdería su finalidad y le provocaría perjuicios patrimoniales de imposible o difícil reparación. También pone de manifiesto que la posible adjudicación del bien inmueble a terceros de buena fe llevaría a situaciones irreversibles.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367-2018 seguido en el Juzgado de Primera Instancia e Instrucción núm. 4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(así,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el tribunal viene exigiendo a quien solicita la adopción de la medida cautelar de suspensión del acto o resolución judicial recurrido que alegue, pruebe o justifique, ofreciendo un principio razonable de prueba, el carácter no reparable o la dificultad de la reparación de los perjuicios de seguirse la ejecución del acto impugnado, con el objeto de mostrar que la ejecución del acto recurrido puede privar a la demanda de amparo de su finalidad, provocando que el restablecimiento del recurrente en el derecho constitucional vulnerado sea tardío y convirtiendo en meramente ilusorio y nominal el amparo [AATC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consolidada doctrina constitucional, de la que son buena muestra, entre otros muchos, los AATC 220/2008, de 14 de julio, FJ 2, y 64/2009, de 23 de febrero, FJ 2, o los más recientes AATC 56/2013, de 25 de febrero, FJ 2; 74/2013, de 8 de abril, FJ 2; 152/2013, de 8 de julio, FJ 2; 37/2014, de 10 de febrero, FJ 2; 282/2014, de 17 de noviembre, FJ 3,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de la que se ha hecho mención permite concluir, de acuerdo con el fiscal, que resulta improcedente la suspensión solicitada y, por el contrario, aparece como medida idónea la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dicha entidad mercantil, como tampoco sobre las características, destino y estado posesorio del inmueble hipotecado. En tales circunstancias, no es posible afirmar que la continuación del curso del procedimiento judicial, incluso con un desplazamiento posesorio, provoque por sí solo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un tercero lo hiciera irreivindicable; situación a la que se hace referencia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entre otros, en los AATC 106/2017, de 17 de julio, FJ 3; 88/2018, de 17 de septiembre, FJ 5; 2/2019, de 9 de enero, FJ 4, y 85/2019, de 15 de julio, a propósito de otros procedimientos hipotecarios, donde se plantearon los mismos argumentos que aquí para solicitar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 de una medida cautelar que el tribunal, de conformidad con el art. 56 LOTC, puede adoptar de oficio o a instancia de parte, con fundamento en el art. 42.1 de la Ley hipotecaria, y, de acuerdo con el ATC 95/2015, de 25 de mayo,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Nuestra decisión en esta materia se limita, en tal sentido,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 [AATC 21/2018, de 5 de marzo, FJ 5, y 88/2018, de 17 de septiembre,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367-2018 seguido en el Juzgado de Primera Instancia e Instrucción núm. 4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noviembre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