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158</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6510-2018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6510-2018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692-2013 seguido en Juzgado de Primera Instancia núm. 6 de Móstoles.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los inmuebles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Luz Aurora Cuya Ayala, representada por la procuradora de los tribunales doña Paloma Izquierdo Labrada, con asistencia letrada de doña Ana María Muñoz del Reino, solicita la suspensión del proceso de ejecución hipotecaria núm. 692-2013 tramitado por el Juzgado de Primera Instancia núm. 6 de Móstoles. Lo hace por otrosí en el escrito de 23 de mayo de 2019 por el que interpone recurso de amparo contra el auto de 28 de noviembre de 2018 recaído en aquel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sobre la medida cautelar solicitada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núm. 6 de Móstoles se sigue procedimiento de ejecución hipotecaria núm. 692-2013 promovido por la entidad Catalunya Bank, S.A., frente a la demandante de amparo en relación con fincas situadas en las localidades de Humanes y Móstoles.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escrito de 21 de noviembre de 2013, la recurrente en amparo formula oposición a la demanda ejecutiva invocando error en la determinación de la cantidad exigible y la nulidad por abusiva de la cláusula undécima del título ejecutivo, conocida como “pacto de liquidez”. La oposición fue desestimada por auto de 17 de marzo de 2014. Fue igualmente rechazada la solicitud de anulación de otras cláusulas mediante providencias de 9 de abril de 2015, 28 de abril de 2016, 23 de mayo de 2016 y 24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Despachada la ejecución y adjudicadas en pública subasta las indicadas fincas, mediante escrito de 27 de septiembre de 2018, la recurrente solicita la suspensión del procedimiento. Habría de esperarse a que el Tribunal de Justicia de la Unión Europea dicte sentencia en varias cuestiones prejudiciales, entre ellas, la correspondiente al asunto C-70/17 planteada por el Tribunal Supremo en relación con la cláusula de vencimiento anticipado.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rechaza la suspensión solicitada mediante providencia de 1 de octubre de 2018. Razona que la parte solicitante ya invocó la existencia de cláusulas abusivas formulando la correspondiente oposición, ya resuelta mediante resoluciones firmes.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Interpuesto recurso de reposición es desestimado por auto de 28 de noviembre de 2018, que confirma la providencia recurrida y sus razonamientos.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escrito de 23 de mayo de 2019, la recurrente formula demanda de amparo contra la providencia de 1 de octubre de 2018 y el auto del 28 de noviembre del mismo año por entender que han vulnerado su derecho fundamental a la tutela judicial efectiva (art. 24.1 CE), en relación con el principio de primacía del Derecho europeo (art. 91.6 CE), la protección de los consumidores (art. 51 CE) y otros preceptos de la Constitución Española (arts. 9 y 14) y del Convenio europeo de derechos humanos (arts. 6, 13 y 14). Tal derecho fundamental se concretaría, en el caso del presente procedimiento hipotecario, en el derecho a un pronunciamiento expreso sobre las cláusulas de carácter esencial, a tenor del cambio jurisprudencial que las ha declarado abusivas; la sentencia del Tribunal de Justicia de la Unión Europea de 26 de enero de 2017 (asunto C-421/14) habría dejado clara e indubitada la nulidad de la cláusula de vencimiento anticipado. En el presente caso, habría faltado ese examen.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solicitud de suspensión hallaría fundamento, de acuerdo con lo afirmado por la recurrente, manifestado por otro sí en la demanda de amparo, en la necesidad de evitar daños y perjuicios de imposible o difícil reparación, así como la pérdida de la finalidad de la presente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providencias de 19 de octubre de 2020, la Sección Segunda del Tribunal Constitucional admite a trámite la demanda de amparo, ordena la formación de la correspondiente pieza separada de suspensión y concede plazo de tres días al Ministerio Fiscal y al solicitante de amparo para que aleguen lo que estimen pertinente respecto de la medida cautelar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27 de octubre de 2020, la demandante se remite a lo manifestado por otrosí en su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de 5 de noviembre de 2020, el Ministerio Fiscal considera rechazable la petición de suspensión por no estar mínimamente fundamentada. Ahora bien, considera procedente acordar la anotación de la demanda, por ser una medida más eficaz para conseguir la protección deseada por la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resolver sobre la procedencia de la medida cautelar instada por la parte recurrente en amparo y dirigida frente al procedimiento de ejecución hipotecaria núm. 692-2013 seguido en Juzgado de Primera Instancia núm. 6 de Móstoles.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La suspensión no podrá pues ocasionar perturbación grave alguna sobre un interés constitucionalmente protegido o los derechos fundamentales o libertades de otra persona. Por esta razón se configura como una medida de carácter excepcional y de aplicación restrictiva (por todos, AATC 117/2015, de 6 de julio, FJ 1, y 59/2017, de 24 de abril, FJ 1).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Debe mostrar que la ejecución del acto recurrido puede privar a la demanda de amparo de su finalidad, provocando que el restablecimiento del recurrente en el derecho constitucional vulnerado sea tardío y convirtiendo en meramente ilusorio y nominal el amparo impetrado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expuesta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se limita a formular la solicitud de suspensión del procedimiento de ejecución hipotecaria sin añadir motivo alguno que la sustente. En tales circunstancias,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entiende, por el contrario, que las circunstancias que presenta el supuesto sometido a consideración llevan a estimar la procedencia de acordar, de modo alternativo, la medida cautelar de anotación preventiva de la demanda de amparo en el registro de la propiedad en cuanto la reputa medida idónea para evitar el perjuicio derivado de que la adquisición del bien por tercero lo haga irreivindicable. Esta ha sido la solución acogida recientemente, para otros casos, en los AATC 75/2019 y 76/2019, ambos de 15 de julio,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188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192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692-2013 seguido en Juzgado de Primera Instancia núm. 6 de Móstoles.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los inmuebles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