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7583-2019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7583-2019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362-2018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Penrei Inversiones, S.L., representada por la procuradora de los tribunales doña Blanca Berriatua Horta, con asistencia letrada de doña Anju Nirmala Rodríguez Benavent, solicita la suspensión del proceso de ejecución hipotecaria núm. 362-2018 tramitado por el Juzgado de Primera Instancia e Instrucción núm. 4 de Lorca. Lo hace por otrosí en el escrito de 29 de diciembre de 2019 por el que interpone recurso de amparo contra los autos de 20 de noviembre de 2018 y 11 de septiembre de 2019 recaídos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362-2018 promovido por la entidad Banco de Sabadell, S.A. frente a la sociedad Penrei Inversiones, S.L., en calidad de titular de un derecho de uso respecto del inmueble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26 de junio de 2018, el Servicio de Notificaciones de la Fábrica Nacional de Moneda y Timbre remite a la demandante de amparo, a través de la dirección electrónica habilitada un aviso. Informa de que la notificación estará disponible desde el 3 de julio hasta el 18 de agosto. El 3 de agosto la recurrente de amparo accede efectivamente a la página web y a la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31 de agosto de 2018, la sociedad demandada formula oposición a la ejecución despachada. Por auto de 20 de noviembre del mismo año fue inadmitida por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3 de agosto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desestimado por auto de 11 de septiembre de 2019. El órgano judicial reafirma que la notificación se practicó el 29 de junio de 2018, fecha en la que se materializó correctamente su puesta a disposición en aplicación estricta del art. 162 LEC. A efectos de computar el plazo para formular oposición a la ejecución hipotecaria no puede tomarse en consideración la fecha en que el acceso se realizó efectivamente; de lo contrario se estaría dejando al arbitrio de las partes obligadas a utilizar el sistema electrónico de notificaciones el cumplimiento de los términos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 apartados 1 y 2 CE). La interpretación de la legislación procesal habría privado injustamente a la recurrente de su derecho a formular oposición a la ejecución hipotecaria, porque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junio de 2020, la Sección Segunda de este tribunal acuerda inadmitir a trámite el recurso de amparo por carecer de especial trascendencia constitucional. Recurrida en súplica por el Ministerio Fiscal, la sección, mediante ATC 118/2020, de 9 de octubre, la declara nula y acuerda admitir a trámite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21 de octubre de 2020, el secretario de justicia acuerda formar la oportuna pieza para la tramitación del incidente de suspensión y, conforme a lo dispuesto en el art. 56 de la Ley Orgánica del Tribunoal Constitucional (LOTC), concede un plazo común de tres días a la parte recurrente y al Ministerio Fiscal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23 de octubre de 2020, la demandante de amparo insiste en que la ejecución se ha despachado con vulneración de su derecho a la tutela judicial efectiva. Añade que la doctrina constitucional ha accedido a suspender ejecuciones hipotecarias en otros casos y que no hacerlo en el presente conduciría a situaciones irreversibles con inevitables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5 de noviembre siguiente, el Ministerio Fiscal interesa que se acuerde la anotación preventiva de la demanda en el registro de la propiedad, pese a no haber sido solicitada. Tras exponer la doctrina constitucional sobre suspensión de resoluciones impugnadas, considera que, de no adoptarse la anotación preventiva de la demanda, la tutela que el tribunal pudiera otorgar corre el riesgo de ser incompleta; dejaría abierta la posibilidad de que la finca sea transmitida a un tercero de buena fe mientras se sustancia y resuelve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362-2018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La suspensión no podrá pues ocasionar perturbación grave alguna sobre un interés constitucionalmente protegido o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entiende, por el contrario, que las circunstancias que presenta el supuesto sometido a consideración llevan a estimar la procedencia de acordar, de modo alternativo, la medida cautelar de anotación preventiva de la demanda de amparo en el registro de la propiedad en cuanto la reputa medida idónea para evitar el perjuicio derivado de que la adquisición del bien por tercero lo haga irreivindicable. Esta ha sido la solución acogida recientemente, para otros casos, en los AATC 75/2019 y 76/2019, ambos de 15 de julio,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362-2018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