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369-2018,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febrero de 2020, la entidad Euroinversiones Inmobiliarias Costa Sur, S.L., representada por la procuradora de los tribunales doña Blanca Berriatua Horta y bajo la dirección del letrado don Marcelino Gilabert García, interpuso recurso de amparo contra los autos de 15 de noviembre de 2018 y de 12 de diciembre de 2019, dictados por el Juzgado de Primera Instancia e Instrucción núm. 4 de Lorca en el proceso de ejecución hipotecaria núm. 369-2018, por los que, respectivamente, se inadmitió por extemporánea la oposición a la ejecución hipotecaria y se confirmó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369-2018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núm. 43.323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21 de junio de 2018 se acordó despachar ejecución frente las sociedades demandadas por la cantidad de 180 193,46 € de principal y 28 850 €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26 de junio de 2018. En dicha comunicación se informa que la notificación estará disponible hasta el 11 de agosto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29 de agosto de 2018. Por auto de 15 de noviembre de 2018 se acordó su inadmisión por considerar la pretensión extemporánea, tomando como fecha de notificación el 25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25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además de infringir los arts. 135, 152, 160, y 162 de la Ley de enjuiciamiento civil (LEC), vulnera el art. 24 CE. Tras su tramitación, el recurso de reposición fue desestimado por auto de 12 de diciembre de 2019, en cuyo fundamento jurídico único se dice literalmente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y añade que de los documentos que aporta la recurrente y de sus propias alegaciones “resulta la correcta recepción de la notificación en fecha 26/06/2018, fecha en la que se materializó la `puesta a disposición´ de la notificación correctamente y del propio documento resulta que pasaron más de tres días desde la misma sin que se hubiera accedido al contenido hasta el día 1 de agosto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precluído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común de las administraciones públicas,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Concluye la entidad recurrente afirmando que las resoluciones impugnadas no han dado cumplimiento a las exigencias constitucionales reconocidas para los actos de notificación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si como consecuencia de su continuación se decretara “la celebración de subasta y la eventual adjudicación a terceros, puede hacer esto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auto de 22 de octubre de 2020, la Sección Segunda de este tribunal acordó estimar el recurso de súplica planteado por el Ministerio Fiscal, y admitir a trámite el recurso de amparo, acordando asimismo la formación de la pieza separada para la tramitación del incidente de suspensión, concediendo el plazo común de tres días a la parte recurrente y al Ministerio Fiscal para que aleguen lo que estimen oportuno (art. 56 LOTC). Por diligencia de ordenación de 23 de octubre de 2020, se dirige comunicación al Juzgado de Primera Instancia e Instrucción núm. 4 de Lorca, a fin de que emplazase a quienes hubieran sido parte en el procedimiento de ejecución hipotecaria núm. 369-2018, excepto la parte recurrente en amparo, para que en el plazo de diez días pudieran comparecer en el recurso de amparo, si lo desean. En esta providencia no se reclaman las actuaciones por estar ya incorporadas al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presentado el 4 de noviembre 2020, la parte demandante formuló sus alegaciones, reiterando lo dicho en el otrosí de su demanda, solicitando la suspensión de la ejecución del hipotecaria y trascribiendo parte de los AATC 21/2018, de 5 de marzo; 58/2018 de 4 de junio, y 117/2018, de 29 de octubre, que reconocen la posibilidad de suspender la ejecución hipotecaria una vez admitido a trámite el recurso de amparo. Sostiene la mercantil recurrente que de no adoptarse la medida de suspensión y de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10 de noviembre de 2020, interesa que se acuerde la anotación preventiva de la demanda en el registro de la propiedad, aunque esta última medida no haya sido solicitada en el recurso de amparo, descartando la medida de suspensión del procedimiento ejecutivo. Tras exponer la doctrina de este tribunal sobre suspensión de resoluciones y actos impugnados, considera que la aplicación al caso de dicha doctrina nos debe llevar a considerar que nos encontramos en uno de esos supuestos en que, tratándose de una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369-2018,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su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 varios autos que resuelven incidentes de ejecución de esta misma serie de recursos de amparo. Valgan como ejemplo, en relación con el mismo recurrente en amparo, los recientes AATC 123/2020, de 19 de octubre; 110/2020, de 21 de septiembre; 103/2020, de 21 de septiembre; 51/2020, de 15 de junio , y 78/2020 y 81/2020, de 20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369-2018,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