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369-2018,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febrero de 2020, la entidad Penrei Inversiones, S.L., representada por la procuradora de los tribunales doña Blanca Berriatua Horta y bajo la dirección del letrado don Anju Nirmala Benavent Rodriguez, interpuso recurso de amparo contra los autos de 15 de noviembre de 2018 y de 12 de diciembre de 2019, dictados por el Juzgado de Primera Instancia e Instrucción núm. 4 de Lorca en el procedimiento de ejecución hipotecaria núm. 369-2018, por los que, respectivamente, se inadmitió por extemporánea la oposición a la ejecución hipotecaria y se confirmó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369-2018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núm. 43.323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21 de junio de 2018 se acordó despachar ejecución frente las sociedades demandadas por la cantidad de 180 193,46 € de principal y 28 850 €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26 de junio de 2018. En dicha comunicación se informa que la notificación estará disponible hasta el 11 de agosto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con fecha 29 de agosto de 2018. Por auto de 15 de noviembre de 2018 se acordó su inadmisión por considerar la pretensión extemporánea, tomando como fecha de notificación el 25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25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pues entenderlo de otro modo, además de infringir los arts. 135, 152, 160, y 162 de la Ley de enjuiciamiento civil (LEC), vulnera el art. 24 CE. Tras su tramitación el recurso de reposición fue desestimado por auto de 12 de diciembre de 2019, en cuyo FJ único se afirma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y añade que de los documentos que aporta la recurrente y de sus propias alegaciones “resulta la correcta recepción de la notificación en fecha 26/06/2018, fecha en la que se materializó la `puesta a disposición´ de la notificación correctamente y del propio documento resulta que pasaron más de tres días desde la misma sin que se hubiera accedido al contenido hasta el día 1 de agosto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precluído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común de las administraciones públicas,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Concluye la entidad recurrente afirmando que las resoluciones impugnadas no han dado cumplimiento a las exigencias constitucionales reconocidas para los actos de notificación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si como consecuencia de su continuación se decretara “la celebración de subasta y la eventual adjudicación a terceros, puede hacer esto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auto de 22 de octubre de 2020, la Sección Segunda de este tribunal acordó estimar el recurso de súplica planteado por el Ministerio Fiscal, y admitir a trámite el recurso de amparo, acordando asimismo la formación de la pieza separada para la tramitación del incidente de suspensión, concediendo el plazo común de tres días a la parte recurrente y al Ministerio Fiscal para que aleguen lo que estimen oportuno (art. 56 LOTC). Por diligencia de ordenación fechada el 26 de octubre de 2020, se dirige comunicación al Juzgado de Primera Instancia e Instrucción núm. 4 de Lorca, a fin de que emplazase a quienes hubieran sido parte en el procedimiento de ejecución hipotecaria núm. 369-2018, excepto la parte recurrente en amparo, para que en el plazo de diez días pudieran comparecer en el recurso de amparo, si lo desean. En esta providencia no se reclaman las actuaciones por estar ya incorporadas al expediente.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través de escrito presentado el 4 de noviembre 2020, la parte demandante formuló sus alegaciones, reiterando lo dicho en el otrosí de su demanda, solicitando la suspensión de la ejecución del hipotecaria y trascribiendo parte de los AATC 21/2018, de 5 de marzo; 58/2018 de 4 de junio, y 117/2018, de 29 de octubre, que reconocen la posibilidad de suspender la ejecución hipotecaria una vez admitido a trámite el recurso de amparo. Sostiene la mercantil recurrente que de no adoptarse la medida de suspensión y de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10 de noviembre de 2020, interesa que se acuerde la anotación preventiva de la demanda en el registro de la propiedad, aunque esta última medida no haya sido solicitada en el recurso de amparo, descartando la medida de suspensión del procedimiento ejecutivo. Tras exponer la doctrina de este tribunal sobre suspensión de resoluciones y actos impugnados, considera que la aplicación al caso de dicha doctrina nos debe llevar a considerar que nos encontramos en uno de esos supuestos en que, tratándose de una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369-2018,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su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 varios autos que resuelven incidentes de ejecución de esta misma serie de recursos de amparo. Valgan como ejemplo, en relación con el mismo recurrente en amparo, los recientes AATC 123/2020, de 19 de octubre; 110/2020, de 21 de septiembre; 103/2020, de 21 de septiembre;  51/2020, de 15 de junio, y 78/2020 y 81/2020, de 20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369-2018,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