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169</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1921-2020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348-2018, seguido en el Juzgado de Primera Instancia e Instrucción núm. 1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16 de abril de 2020, la entidad Penrei Inversiones, S.L., representada por la procuradora de los tribunales doña Blanca Berriatua Horta y bajo la dirección del letrado don Anju Nirmala Benavent Rodriguez, interpuso recurso de amparo contra el auto de 3 de mayo de 2019 dictado por el Juzgado de Primera Instancia e Instrucción núm. 1 de Lorca, en el procedimiento de ejecución hipotecaria núm. 348-2018 y contra el auto de 10 de febrero de 2020, dictado por la Sección Primera de la Audiencia Provincial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1 de Lorca se sigue procedimiento de ejecución hipotecaria núm. 348-2018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núm. 43.459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27 de junio de 2018 se acordó despachar ejecución frente las sociedades demandadas por la cantidad de 2 451,71 € de principal más intereses y costas presupuestados. El servicio de notificaciones de la Fábrica Nacional de Moneda y Timbre remitió a la demandante de amparo, a través de la dirección electrónica habilitada, un aviso de notificación del citado auto que le fue comunicado por dicho medio el 9 de octubre de 2018. En dicha comunicación se informa que la notificación estará disponible hasta el 24 de noviembre del mismo año, accediendo la recurrente de amparo efectivamente a la página web y a la notificación dentro del plazo en que la misma se encontraba disponible.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Penrei Inversiones, S.L., presentó escrito de oposición a la ejecución despachada. Por auto de 3 de mayo de 2019 se acordó su inadmisión por considerar la pretensión extemporánea. En su fundamento jurídico 2 se razona y rechaza la alegación de la entidad ejecutante sobre el carácter extemporáneo de la presentación de la oposición deducida y ya en los fundamentos jurídicos 3 y 4 se analizan los motivos de fondo planteados respectivamente por cada una de las sociedades demandadas. En lo que se refiere a la demandada Penrei Inversiones, S.L., se concretaba a la falta de legitimación para ser llamada al proceso de ejecución. Centrado en este motivo, determina en el fundamento jurídico 4 que “tampoco es posible su estimación por cuanto y como acertadamente manifiesta el ejecutante, si bien es cierto que no es propietario de la finca registral objeto de traba real no obstante tendría su encaje legal perfectamente delimitado en el art. 685 de la Ley de enjuiciamiento civil (LEC), por cuanto se trata de un tercer poseedor que ha acreditado su dominio con anterioridad a la demanda, y cuya falta de notificación el procedimiento no generaría sino una indeseada indefensión que culminaría con una nulidad de actuaciones, así lo recoge entre otras la STS 79/2013 de 8 de abril, y la doctrina de la DGRN [Dirección General de los Registros y del Notariado]”.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apelación contra el auto de inadmisión alegando, en síntesis, que las actuaciones de notificación y requerimiento habían sido realizadas en la fecha en que accedió a la web y procedió a su descarga, y que la comunicación remitida a través de la dirección electrónica habilitada no puede entenderse más que un aviso de puesta a disposición o descarga de su contenido durante un plazo determinado, pues entenderlo de otro modo vulnera el art. 24 CE. Adicionalmente se alegó la falta de legitimación pasiva. Tras su tramitación el recurso de apelación fue desestimado por auto de 10 de febrero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la vertiente del derecho a disfrute de un proceso con todas las garantías. Se entiende que la mercantil Penrei Inversiones, S.L., no debió intervenir en el proceso judicial como demandado, siendo requerida de pago cuando no ostenta la condición de deudor, y habiendo formulado una interpretación de la condición de legitimación pasiva de la recurrente desproporcionada por excesivamente formalista e incompatible con el derecho al a tutela judicial efectiva. En la demanda se solicita por medio de otrosí la suspensión del procedimiento de ejecución hipotecaria alegando que si como consecuencia de su continuación se decretara “la celebración de subasta y la eventual adjudicación a terceros, puede hacer esto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auto de 22 de octubre de 2020, la Sección Segunda de este tribunal acordó estimar el recurso de súplica planteado por el Ministerio Fiscal, y admitir a trámite el recurso de amparo, acordando asimismo la formación de la pieza separada para la tramitación del incidente de suspensión, concediendo el plazo común de tres días a la parte recurrente y al Ministerio Fiscal para que aleguen lo que estimen oportuno (art. 56 LOTC). Por diligencia de ordenación fechada el 23 de octubre de 2020, se dirige comunicación al Juzgado de Primera Instancia e Instrucción núm. 1 de Lorca, a fin de que emplazase a quienes hubieran sido parte en el procedimiento de ejecución hipotecaria núm. 348-2018, excepto la parte recurrente en amparo, para que en el plazo de diez días pudieran comparecer en el recurso de amparo, si lo desean. En esta providencia no se reclaman las actuaciones por estar ya incorporadas al expediente.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través de escrito presentado el 4 de noviembre 2020, la parte demandante formuló sus alegaciones, reiterando lo dicho en el otrosí de su demanda, solicitando la suspensión de la ejecución del hipotecaria y trascribiendo parte de los AATC 21/2018, de 5 de marzo; 58/2018 de 4 de junio, y 117/2018, de 29 de octubre, que reconocen la posibilidad de suspender la ejecución hipotecaria una vez admitido a trámite el recurso de amparo. Sostiene la mercantil recurrente que de no adoptarse la medida de suspensión y de “seguir adelante la ejecución podría producirse la transmisión irrecuperable del dominio del bien inmueble, creando una situación difícilmente reversible que menoscabaría los fines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el 11 de noviembre de 2020, interesa que se acuerde la anotación preventiva de la demanda en el registro de la propiedad, aunque esta última medida no haya sido solicitada en el recurso de amparo, descartando la medida de suspensión del procedimiento ejecutivo. Tras exponer la doctrina de este tribunal sobre suspensión de resoluciones y actos impugnados, considera que la aplicación al caso de dicha doctrina nos debe llevar a considerar que nos encontramos en uno de esos supuestos en que, tratándose de una resolución de carácter patrimonial, no obstante puede acabar afectando a derechos futuros de terceros adquirentes de buena fe, por lo que de acuerdo con la doctrina de este tribunal, sería procedente la anotación preventiva de la demanda, que haría que lo que consta en el registro de la propiedad fuera fiel reflejo de la realidad,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348-2018, seguido en el Juzgado de Primera Instancia e Instrucción núm. 1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de 10 de febrero,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su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en varios autos que resuelven incidentes de ejecución de esta misma serie de recursos de amparo. Valgan como ejemplo, en relación con el mismo recurrente en amparo, los recientes AATC 123/2020, de 19 de octubre, 110/2020, de 21 de septiembre, 103/2020, de 21 de septiembre; 51/2020, de 15 de junio, y 81/2020 y 78/2020 de 20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348-2018, seguido en el Juzgado de Primera Instancia e Instrucción núm. 1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