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4885-2020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4885-2020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cautelar de la ejecución del acuerdo 2020/2094, de 13 de agosto de 2020, de la mesa del Parlamento Vasco, por el que se establecen los órdenes del día y los tiempos de debate en las sesiones parlamentarias.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octubre de 2020 tuvo entrada en el registro general de este Tribunal Constitucional un escrito del procurador de los tribunales don Antonio Ortega Fuentes, en nombre y representación del Grupo Mixto en el Parlamento Vasco y de doña Amaia Martínez Grisaleña, diputada en el citado Parlamento, asistidos por la letrada doña Marta Castro Fuertes, por el que han interpuesto recurso de amparo contra los acuerdos de la mesa de aquella Cámara, de 13 de agosto y de 8 de septiembre de 2020, que, respectivamente, desestimaron el primero y rechazaron el segundo, determinadas solicitudes presentadas por aquellos en relación con el ejercicio de sus funciones parlamentarias en aquella cámara legislativa.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las elecciones al Parlamento Vasco celebradas el día 12 de julio de 2020, la candidatura del partido político Vox obtuvo un acta de diputado que correspondió a doña Amaia Martínez Grisaleña, lo que determinó que, una vez constituida la Cámara, la referida diputada quedara integrada en el Grupo Parlamentario Mixto al no alcanzar su formación política la cifra mínima de tres diputados para constituir un grupo parlamentario propio, de conformidad con lo dispuesto en el art. 24.1 del Reglamento del Parlamento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sesión celebrada el día 13 de agosto de 2020, la mesa del Parlamento acordó: (i) no acceder a la propuesta presentada por la diputada de Vox, ahora demandante de amparo, de cambio de denominación del “Grupo Parlamentario Mixto” por el de “Grupo Parlamentario Vox” o “Grupo Parlamentario Mixto-Vox” (acuerdo 2020/2075); (ii) aprobó la propuesta de otros grupos de la cámara por el que se establecen los órdenes del día y los tiempos de debate en las sesiones plenarias (acuerdo 2020/2094), de tal manera que al Grupo Mixto le correspondería la posibilidad de incluir una iniciativa (proposiciones de ley o no de ley, mociones consecuencia de interpelación) cada tres plenos ordinarios, así como quedaría limitado el tiempo de intervención en los debates a un tercio del previsto para el resto de grupos, pudiendo, finalmente, incluir una interpelación y cuatro preguntas orales cada tres plenos de control al gobierno; y (iii) poner a disposición del Grupo Mixto un asistente (personal técnico-administrativo) para el desarrollo de sus funciones parlamentarias (acuerdo 2020/2109).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Doña Amaia Martínez Grisaleña, en cuanto diputada electa por la formación política Vox e integrada en el Grupo Mixto de la Cámara vasca, presentó escrito solicitando la reconsideración de los anteriores acuerdos, que fue desestimada por otro acuerdo de la mesa de 8 de septiembre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del derecho de participación política del art. 23 CE, que imputa a los acuerdos impugnados de la mesa del Parlamento Vasco. Sostiene que dichos acuerdos “se enmarcan en una estrategia de la mayoría del Parlamento vasco para crear un ‘cordón sanitario’ en torno al partido político Vox, negándole el derecho fundamental a la participación política y, de paso, privando de ese mismo derecho a los ciudadanos que, en ejercicio del sufragio activo, decidieron otorgar su confianza a ese partido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al amparo de lo dispuesto en el art. 56.6 de la Ley Orgánica del Tribunal Constitucional (LOTC), solicitó de este tribunal la aplicación inaudita parte de la medida cautelar de suspensión de la ejecución del acuerdo de 13 de agosto de 2020, “en cuanto establece los órdenes del día y los tiempos de debate en las sesiones plenarias (propuesta 2020/2094)”. Argumenta, al respecto, que el acuerdo prescinde de lo dispuesto en el art. 25.1, párrafo segundo, del Reglamento de la Cámara, que establece que la participación del Grupo Mixto en las actividades del Parlamento “será idéntica” a la de los restantes grupos, de tal manera que, a diferencia del resto, al Grupo Mixto y a la diputada recurrente, en cuanto única integrante del mismo, solo se le permite una iniciativa por cada tres plenos frente a la posibilidad de que dispone el resto de los grupos de incluir hasta dos iniciativas en cada Pleno; asimismo, frente a las dos interpelaciones y cuatro preguntas por cada sesión plenaria que pueden incluir el resto de los grupos, al Grupo Mixto únicamente se le permite una interpelación y cuatro preguntas cada tres plenos; finalmente, también se le ha reducido el tiempo de intervención en todos los debates a un tercio del que corresponde al resto de los grupos.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“antidemocráticas” todas estas restricciones que, según refiere, tienen por finalidad “materializar ‘un cordón sanitario al fascismo para que no marque la agenda’ añadiendo que ‘a la ultraderecha hay que ponerla en su sitio y no puede, en ningún caso, marcar la agenda política de esta parte del país’”. Entiende, por ello, que la permanencia de estas restricciones le ocasionan unos perjuicios “que serían absolutamente irreparables al tiempo en que este tribunal se pronunciase sobre el fondo, convirtiendo en absolutamente irrelevante la justicia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entiende que la suspensión no ocasiona perturbación grave a un interés constitucionalmente protegido, ni a los derechos fundamentales o libertades públicas de una tercera persona. Además, el acuerdo para el que solicita la medida cautelar “es insólito y nunca antes había sentido la mesa la necesidad de adoptar un acuerdo de estas características”. Por ello, afirma que si hasta ahora el Parlamento vasco ha funcionado sin un acuerdo análogo, “ningún perjuicio ha de ocasionar su suspensión hasta que el tribunal se pronuncie sobre su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aunque la parte reconoce que este tribunal “ha mostrado siempre la razonable cautela de no aplicar la apariencia de buen derecho en sede cautelar con la finalidad de no prejuzgar el fondo”, el caso de autos “presenta la evidente excepcionalidad de que la propia portavoz de uno de los partidos políticos que soportaron el acuerdo exteriorizó explícitamente la inconstitucional intención del mismo: extender un verdadero ‘cordón sanitario’ a una opción política absolutamente constitucional y a la ciudadanía” que votó la opción política que su formación representa.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providencia de 3 de marzo de 2021, la Sección Cuarta de la Sala Segunda de este tribunal acordó la admisión a trámite del recurso, apreciando que concurre en el mismo una especial trascendencia constitucional (art. 50.1 LOTC), por cuanto el asunto trasciende del caso concreto, toda vez que pudiera tener unas consecuencias políticas generales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la misma resolución, se acordó dirigir atenta comunicación al Parlamento Vasco, a fin de que en el plazo que no excediera de diez días, remitiera certificación o copia adverada de las actuaciones correspondientes a los acuerdos de la mesa del Parlamento Vasco de 13 de agosto y de 8 de septiembre de 2020, debiendo emplazar a quienes hubieran intervenido en el procedimiento para que, por término de diez días, pudieran comparecer, excepto la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en relación con la solicitud de suspensión formulada en la demanda de amparo, la Sección no apreció la urgencia excepcional a que se refiere el art. 56.6 LOTC, por lo que no resolvió inaudita parte, “dado que el asunto presenta elementos sustantivos específicos que abogan por un estudio meditado y contradictorio de la medida cautelarísima instada”.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decidió la formación de pieza separada de suspensión y conceder un plazo común de tres días al Ministerio Fiscal y a la parte recurrente para que alegaran lo que estimaran oportuno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11 de marzo de 2021, quedaron registradas en este tribunal las alegaciones de los demandantes de amparo en las que, además de ratificarse en la solicitud de la medida cautelar de suspensión de la ejecución del acuerdo de referencia, en los términos en que fueron instados mediante otrosí en la demanda, añaden que, en un mes concreto, el Grupo Mixto solo ha podido presentar una iniciativa, frente a las seis que pudieron presentar cada uno de los restantes grupos parlamentarios, de tal manera que su participación ha sido seis veces inferior a la de cada uno de los restantes grupos de la Cámara vasca.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frente a la disponibilidad de hasta quince minutos que cada grupo parlamentario tiene para sus intervenciones orales, el Grupo Mixto solo ha dispuesto de cinco minutos y, en los mismos términos, ha sufrido restricciones respecto de los plenos de control al Gobierno y en las comisiones de la Cámara. Con objeto de poder acreditar tales afirmaciones, aporta documental que queda incorporada a la pieza incidental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Reitera que la eventual suspensión de la ejecución del acuerdo no causaría perjuicios a los intereses generales y a los derechos de terceros y que, sin embargo, la no suspensión le puede ocasionar perjuicios irreparables. Destaca, también, que en la historia del parlamentarismo vasco y de las anteriores legislaturas (en la VIII y en la X) hubo un grupo mixto integrado por un solo diputado “sin que se adoptara acuerdo alguno que restringiera su intervención”. En definitiva, si no se acuerda la suspensión permanecerá el “cordón sanitario” y los perjuicios irreparables que se le irrogan al Grupo Mixto y a la diputada integrante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18 de marzo de 2021, tuvo entrada en el registro de este tribunal el escrito de alegaciones del Ministerio Fiscal por el que solicita la denegación de la medida cautelar oponiéndose a que este tribunal suspenda la ejecución del acuerdo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hacer una detallada descripción de los antecedentes, destaca el fiscal que el objeto del recurso de amparo y de la decisión sobre el fondo que debe adoptar este tribunal se localiza en “dirimir si los acuerdos de la mesa vulneran los derechos fundamentales que alega o son respetuosos con lo previsto en el Reglamento de la Cámara”, de tal manera que la suspensión de uno de ellos se proyecta “sobre el fondo de la cuestión planteada en la demanda” y supone “predeterminar la solución del recurso, sin que sea este el momento procesal oportuno para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entiende el fiscal que los recurrentes han podido, hasta el momento presente, ejercer funciones parlamentarias como Grupo Mixto y, por tanto, “pueden seguir haciendo valer los intereses de los concretos votantes de la formación política por la que resultaron elegidos, sin perjuicio de que su porcentaje de participación en la actividad parlamentaria se vea disminuida por los acuerdos impugnados, disminución que es precisamente el objeto del recurso de amparo, por lo que de concederse la suspensión se anticiparía el sentido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rechaza también la alegación de los demandantes de amparo a la apariencia de buen derecho que defienden, porque este tribunal “ya declaró”, con cita del ATC 18/2002, de 11 de febrero, FJ 1, que “cuando, con ocasión de haber sido impugnado un acuerdo de la mesa del Parlamento de La Rioja de disolución de un grupo parlamentario y la incorporación de sus anteriores componentes al Grupo Mixto, que debía ‘desecharse a limine el argumento que los recurrentes esgrimen del fumus boni iuris que tiene el amparo que impetran’”.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establece, como regla general, que la interposición de un recurso de amparo no suspenderá los efectos del acto o sentencia impugnados. No obstante, el apartado segundo del mismo art. 56 LOTC, prevé una excepción a dicha previsión general, admitiendo la suspensión del acto o sentencia impugnados cuando su ejecución produzca un perjuicio al recurrente que pudiera hacer perder su finalidad al amparo.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tal previsión legal, este tribunal ha declarado que “quien solicita la adopción de esta medida cautelar ha de alegar, probar o justificar, ofreciendo un principio razonable de prueba, la irreparabilidad o dificultad de la reparación de los perjuicios de seguirse la ejecución del acto impugnado, con el objeto de mostrar que dicha ejecución podría privar a la demanda de amparo de su finalidad, provocando que el restablecimiento del recurrente en el derecho constitucional vulnerado sea tardío y convirtiendo en meramente ilusorio y nominal el amparo (ATC 128/2017, de 2 de octubre, y los allí citados). En todo caso, la adopción de la medida se condicionará a que la suspensión no produzca una perturbación grave a un interés constitucionalmente protegido, a los derechos fundamentales o a las libertades públicas de un tercero (por todos, AATC 1/2016, de 18 de enero)” (ATC 26/2019, de 9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 modo general, también ha insistido este tribunal (ATC 23/2017, de 13 de febrero, FJ 1, y AATC 263/2001, de 15 de octubre, y 18/2002, de 11 de febrero, que se citan en aquella resolución) en la imposibilidad de adelantar cuestiones controvertidas propias del fondo del recurso de amparo en esta pieza incidental de suspensión, como tampoco de conceder la suspensión cautelar de la ejecución de una resolución o de un acuerdo, si con ello se puede anticipar el amparo que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detalla en los antecedentes, los recurrentes han solicitado en la demanda de amparo la suspensión cautelar de la ejecución de uno de los tres acuerdos impugnados que adoptó la mesa del Parlamento Vasco, en su sesión celebrada el día 13 de agosto de 2020. En concreto, se refiere al acuerdo 2020/2094, por el que se han establecido los órdenes del día y los tiempos de debate en las sesiones plenarias. En dicho acuerdo la mesa dispuso una reducción de las iniciativas parlamentarias y de los tiempos de intervención asignados al Grupo Mixto, integrado por la diputada recurrente doña Amaia Martínez Grisaleña, de tal manera que la queja por alegada vulneración del derecho de participación política (art. 23 CE) que invocan los recurrentes constituye el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esta delimitación del objeto del recurso de amparo y de la suspensión cautelar que se solicita, hemos de realizar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como con acierto alega el Ministerio Fiscal, debemos rechazar a limine el argumento de la apariencia de buen derecho que sostienen los demandantes pues, como ha declarado este tribunal, “dichos argumentos se proyectan sobre el fondo de la cuestión planteada en la demanda y suponen predeterminar la solución del recurso que, en su momento, esta Sala habrá de resolver en el sentido que razonadamente estime oportuno” (ATC 23/2017, de 13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Y, en segundo término, es cierto que las facultades parlamentarias y los tiempos de intervención del Grupo Mixto y de la diputada que lo integra son más reducidas que las que tienen asignadas el resto de los grupos de la Cámara, y que, desde la perspectiva de los recurrentes, tal reducción les produce un perjuicio en el desarrollo de lo que aquellos entienden como el pleno ejercicio de sus funciones parlamentarias, pero esta es precisamente la cuestión de fondo que debe dirimir el tribunal a la hora de resolver sobre la pretensión de amparo ejercitada. En la sentencia que dicte deberá decidir si los acuerdos de la mesa impugnados vulneran los derechos fundamentales garantizados en el art. 23 CE, o si, por el contrario, aquellos, entre los que se encuentra el que ahora es objeto de la suspensión cautelar que se solicita, se ajustan a lo previsto en el Reglamento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ello abunda, por lo demás, el interés general que conlleva la ejecución de los actos y decisiones de los poderes públicos, amparados, como están, en la presunción de legalidad y veracidad, como hemos dicho siempre al tratar de la medida cautelar que posibilita el art. 56 LOTC (así, en el ATC 208/2001, de 16 de junio, y los que en él se mencionan en idéntica línea). Cuando, como en este caso, se trata de actos provenientes de órganos parlamentarios, se une, además, la característica y esencial autonomía parlamentaria que, como tal, ha de respetarse siempre en la medida de lo posible (ATC 18/2002, de 11 de febrero, FJ 3)” (ATC 26/2019, de 9 de abril,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cautelar de la ejecución del acuerdo 2020/2094, de 13 de agosto de 2020, de la mesa del Parlamento Vasco, por el que se establecen los órdenes del día y los tiempos de debate en las sesiones parlamentarias.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