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5467-2019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5467-2019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de la delegada del Gobierno en Madrid de 30 de diciembre de 2016, pronunciada en el expediente sancionador núm. 280020160018293, en que se acuerda la expulsión del recurrente de territorio nacional con la prohibición de entrada en España por un periodo de tres años.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septiembre de 2019, don Víctor Hugo Sánchez Mina, representado por la procuradora de los tribunales doña María Isabel García Martínez, bajo la dirección del letrado don Miguel Cobas Pascual, interpuso recurso de amparo contra la providencia de la Sección Primera de la Sala de lo Contencioso-Administrativo del Tribunal Supremo de 18 de julio de 2019, por la que se inadmite el recurso de casación núm. 2615-2019, interpuesto contra la sentencia de la Sección Segunda de la Sala de lo Contencioso-Administrativo del Tribunal Superior de Justicia de Madrid núm. 86/2019, de 6 de febrero de 2019, por la que se desestima el recurso de apelación núm. 668-2018, interpuesto contra la sentencia núm. 95/2018 del Juzgado de lo Contencioso-Administrativo núm. 9 de Madrid, de 9 de abril de 2018, pronunciada en el procedimiento abreviado núm. 213-2017, por la que se desestima el recurso interpuesto contra la resolución de la delegada del Gobierno en Madrid de 30 de diciembre de 2016, pronunciada en el expediente sancionador núm. 280020160018293, en que se acuerda la expulsión de territorio nacional con la prohibición de entrada en España por un periodo de tres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el recurrente solicita la suspensión de las resoluciones impugnadas argumentando, con cita de diversa jurisprudencia constitucional (AATC 82/1999, de 12 de abril; 356/2008, de 10 de noviembre, y 156/2010, de 15 de noviembre) que la ejecución de la expulsión del territorio nacional provocaría perjuicios de carácter personal, económico y familiar de imposible resarcimiento.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10 de marzo de 2021,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15 de abril de 2021, presentó alegaciones interesando que se acceda a la suspensión solicitada en aplicación de la jurisprudencia constitucional sobre la suspensión de la sanción de expulsión que establece que “la ejecución de las resoluciones que la acuerdan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(ATC 47/2016, de 29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no ha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acordar la suspensión de las resoluciones impugnadas en la medida en que se acuerda la expulsión del recurrente del territorio nacional y la prohibición de entrada en España por un periodo de tres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de la Ley Orgánica del Tribunal Constitucional (LOTC) dispone que la interposición de un recurso de amparo no suspenderá los efectos del acto o sentencia impugnados y el art. 56.2 LOTC concreta que podrá acordarse la suspensión cuando su ejecución “produzca un perjuicio al recurrente que pudiera hacer perder al amparo su finalidad”. Se establece como condición que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reiterado, en relación con la suspensión de la sanción de expulsión de territorio nacional y de prohibición de entrada en España, que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(AATC 82/1999, de 12 de abril, FJ 2; 356/2008, de 10 de noviembre, FJ único; 156/2010, de 15 de noviembre, FJ único; 66/2012, de 16 de abril, FJ 2; 116/2013, de 20 de mayo, FJ 2; 90/2015, de 25 de mayo, FJ 2; 47/2016, de 29 de febrero, FJ 2, y 133/2016, de 22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en aplicación de lo expuesto y de acuerdo con lo que solicita el Ministerio Fiscal, resulta procedente acordar la suspensión de la expulsión del territorio nacional del recurrente y la prohibición de entrada durante tres años en España atendiendo al conjunto de circunstancias personales que se reflejan en las actuaciones y al hecho de que no cabe apreciar que dicha suspensión pueda originar una perturbación grave de los intereses generales ni de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de la delegada del Gobierno en Madrid de 30 de diciembre de 2016, pronunciada en el expediente sancionador núm. 280020160018293, en que se acuerda la expulsión del recurrente de territorio nacional con la prohibición de entrada en España por un periodo de tres años.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