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5872-2020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5872-2020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Denegar la suspensión cautelar solicitada del procedimiento de ejecución hipotecaria núm. 207-2019 seguido en el Juzgado de Primera Instancia núm. 3 de Lorca, así como la práctica de la anotación preventiva de la demanda de amparo.</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30 de noviembre de 2020 el procurador de los tribunales don Pedro Arcas Barnes, en nombre y representación de la entidad Viviendas Chimenea II de Águilas, Sociedad Cooperativa, asistida por el letrado don Fernando Bastida García, interpuso recurso de amparo contra el auto de 28 de octubre de 2020, dictado por el Juzgado de Primera Instancia núm. 3 de Lorca, en el procedimiento de ejecución hipotecaria núm. 207-2019, que desestimó el incidente de nulidad promovido por la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que se desprenden de la demanda de amparo y de las actuaciones que la acompañan,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fecha 24 de julio de 2019 la Sociedad de gestión de activos procedentes de la reestructuración bancaria, S.A. (SAREB), que había adquirido los activos de la entidad Banco Mare Nostrum, S.A., presentó demanda de ejecución hipotecaria contra la entidad Viviendas Chimenea II de Águilas, Sociedad Cooperativa, como deudor hipotecario en relación con el préstamo con garantía hipotecaria constituido sobre setenta y tres fincas registrales y elevado a escritura pública el 27 de mayo de 2008, en reclamación de la cantidad de 24 165 916,75 €, en concepto de principal y 7 249 775,02 € en concepto de intereses y costas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Dicha demanda correspondió al Juzgado de Primera Instancia núm. 3 de Lorca, que la tramitó con el núm. 207-2019. Por auto de 10 de septiembre de 2019, el juzgado despachó ejecución frente al prestatario por el indicado importe.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Intentada la notificación y el emplazamiento a la ejecutada el 18 de septiembre de 2019, se extendió diligencia para “hacer constar que, habiéndome constituido en el domicilio facilitado como de la interesada, en c/ Pio XII, núm. 21, 4º B) resulta ser un despacho de abogados y manifiestan que no tienen relación con la empresa que pudiese ser que la tuviera con la Asesoría Serveco que se ubicaba antes en este domicilio”.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Mediante diligencia de ordenación de 3 de octubre de 2019, se facultó al procurador de los tribunales, que representa a la ejecutante, para que practicara el requerimiento de pago en la persona de Ricardo José Montoya Morata, legal representante de Llave Azul 2006, S.L., que a su vez era apoderada de la entidad ejecutada.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22 de octubre siguiente, por el procurador de los tribunales de la SAREB se comunicó la diligencia negativa de requerimiento de pago, y dos días después se interesó por el mismo que el requerimiento se realizara por edictos. Así se acordó por la letrada de la administración de justicia mediante diligencia de ordenación dictada el 5 de noviembre de 2019, procediendo a la inserción del edicto ese mismo día y siendo retirado el 5 de diciembre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La recurrente presentó incidente de nulidad actuaciones el 6 de julio de 2020 alegando la vulneración del derecho a la tutela judicial efectiva por haber procedido el órgano judicial al emplazamiento mediante edictos sin agotar previamente las posibilidades de averiguación del domicilio real de la ejecutada, bien a través de la localización del domicilio de don Ricardo José Montoya Morata, bien por la consulta telemática al Registro de Cooperativas de la Región de Murcia a fin de averiguar la identidad de los miembros de su consejo rector y solicitó la suspensión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28 de octubre de 2020, se rechazó la nulidad de actuaciones pretendida por la parte recurrente y se acordó continuar el procedimiento. En la fundamentación del auto, con cita del artículo 686.1 de la Ley de enjuiciamiento civil (LEC) se recogía el contenido del auto de 8 de enero de 2018, de la Sección Primera de la Audiencia Provincial de Murcia, que, con referencia a otros anteriores de la misma sección, atendía a la vinculación de las partes al domicilio pactado en la escritura de hipoteca, y, a la consecuencia de que intentado el emplazamiento en el domicilio pactado, la falta de notificación del saldo deudor no es imputable a la entidad ejecutante, al regir en la ejecución hipotecaria el artículo 683 LEC que impide al deudor el cambio del domicilio fijado para recibir notificaciones derivadas de la hipoteca, amén de establecer una serie de normas para que se pueda llevar a cabo y de exigir una expresa y fehaciente notificación al deudor del cambio de domicilio, aspectos estos que evidentemente no se han producido por lo que habrá que estar al domicilio pactado e inscrito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invoca la vulneración del derecho a la tutela judicial efectiva (art. 24.1 CE) sin indefensión, en su manifestación de derecho de acceso al proceso, reconocido en el artículo 24.1 CE, al haber seguido el órgano judicial el procedimiento de ejecución acudiendo al emplazamiento por edictos sin haber agotado, previamente, los mecanismos previstos en el artículo 686.3 LEC, para intentar la averiguación y localización del domicilio de la recurrente por otros medios.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que el órgano judicial ha decidido soslayar de forma consciente e intencionada la doctrina del Tribunal Constitucional sobre el artículo 686.3 LEC establecida en las SSTC 122/2013, de 20 de mayo, 131/2014, de 21 de julio; 137/2014, de 8 de septiembre; 169/2014, 22 de octubre ; 89/2015, de 11 de mayo; 151/2016, de 19 de septiembre; 5/2017; 6/2017, de 16 de enero; 106/2017, de 18 de septiembre; 137/2017, de 27 de noviembre, y 5/2018, de 22 de enero.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se ha acudido al emplazamiento por edictos sin practicar ninguna diligencia de averiguación domiciliaria de la ejecutada, ni de su apoderada, o del representante legal de esta última, cuando fácilmente se hubiera podido localizar el domicilio de este o consultar telemáticamente al registro de cooperativas de la Región de Murcia a fin de identificar a los miembros del consejo rector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solicita que se reconozca la vulneración invocada y que se declare la nulidad del auto de 28 de octubre de 2020 del Juzgado de Primera Instancia núm. 3 de Lorca y que se acuerde la retracción de las actuaciones al momento inmediatamente anterior al requerimiento de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digo, pide que se acuerde la suspensión del procedimiento de ejecución hipotecaria en el que se ha dictado decreto de fecha 5 de noviembre de 2020, acordando la adjudicación a la parte ejecutante de las fincas subastadas, pues, de no proceder a la suspensión solicitada, la adjudicataria podría vender a terceras personas las fincas adjudicadas, que resultarían no reivindicables en virtud del artículo 34 de la Ley hipotecaria (LH) y por tanto la continuación del procedimiento ejecutivo haría perder al recurso de amparo su finalidad, sin que, por otra parte, concurra perturbación grave de los intereses generales, ni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sendas providencias de 10 de mayo de 2021, la Sección Segunda de este tribunal acordó admitir a trámite el recurso de amparo apreciando que concurre en el mismo especial trascendencia constitucional [art. 50.1 de la Ley Orgánica del Tribunal Constitucional (LOTC)] porque el órgano judicial pudiera haber incurrido en una negativa manifiesta del deber de acatamiento de la doctrina de este tribunal [STC 155/2009, FJ 2 f)], y dirigir comunicación al órgano judicial interviniente, a fin de que en el plazo que no exceda de diez días remita certificación o fotocopia adverada de las actuaciones correspondientes al procedimiento de ejecución hipotecaria núm. 207-2019, y que proceda a emplazar a quienes hubieran sido parte en el proceso del que trae causa el presente recurso, excepto la parte recurrente en amparo, para que en plazo de diez días puedan comparecer, si lo desean.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 Sección dispuso formar pieza separada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17 de mayo de 2021 la recurrente presentó escrito de alegaciones en el que además de insistir en la solicitud efectuada en la demanda de amparo, afirmaba que la suspensión de actuaciones es la única medida cautelar apta e idónea para evitar el perjuicio que supondría la continuación de la ejecución, pues si bien la anotación preventiva de la demanda de amparo en el registro de la propiedad podría evitar la presunción de buena fe del tercer adquirente, y con ello evitar el carácter no reivindicable de su enajenación, tal medida no evitaría la toma de posesión de las fincas por el ejecutante y el consecuente desalojo de aquellos terceros compradores de las fincas durante el proceso de construcción de la nueva edificación, que vienen ocupando las mismas y que no han podido subrogarse en los concretos préstamos de sus viviendas por la irregular situación de mora del préstamo a la promoción. Refería que, si bien el órgano judicial había acordado la suspensión del lanzamiento fijado para la fecha de 22 de noviembre de 2019, podría señalar una nueva fecha de lanzamiento que ocasionaría los perjuicios irreparables ya indicados en el recurso de amparo, privando al amparo su finalidad. Por otra parte, indica que, “la medida cautelar de anotación preventiva de la demanda de amparo en el registro de la propiedad, implica su anotación en las setenta y tres fincas ejecutadas, con un coste económico por aranceles registrales imposible de asumir por mi representada”.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escrito el día 31 de mayo de 2021, por el que partiendo de la doctrina constitucional considera que no se acredita la incidencia económica negativa e irreparable que la continuación del procedimiento pudiera causar, más allá de la mera petición de suspensión y la referencia a los efectos jurídicos de la inscripción registral. Añade que sí es posible lograr el efecto protector deseado por la recurrente mediante la práctica de la anotación preventiva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solicitud de suspensión cautelar del procedimiento de ejecución hipotecaria. La recurrente refiere que solo la suspensión del procedimiento puede evitar el desalojo de los compradores de las viviendas en construcción, no siendo efectiva a tal efecto la anotación preventiva de la demanda en el registro de la propiedad, pues con ella solo se evitaría la protección del tercer adquirente y la recurrente carece de recursos económicos para la satisfacción de los aranceles registrales. El Ministerio Fiscal considera que no concurren los presupuestos exigidos para acordar la suspensión del procedimiento de ejecución y propone como alternativa la medida cautelar de anotación preventiva de la demanda de amparo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Por esta razón, la pretensión cautelar analizada se configura como una medida de carácter excepcional y de aplicación restrictiva (por todos, AATC 117/2015, de 6 de julio, FJ 1; 59/2017, de 24 de abril, FJ 1, y 177/2019, de 16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lo irreparable o la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FJ 1; 147/2017, de 13 de noviembre, FJ 1, y 177/2019, FJ 2]. Ahora bien, “el perjuicio irreparable debe ser real, sin que sea posible alegar un perjuicio futuro o hipotético o un simple temor” (ATC 250/2013, de 4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que no es jurídicamente sostenible fundar la medida cautelar, para atender la finalidad de evitar un eventual, futuro e incierto lanzamiento de posibles ocupantes de las viviendas, cuya existencia, pese afirmarse de modo genérico e inconcreto, no consta acreditada por la demandante de amparo. Es por ello que el único riesgo atendible es que las fincas pudieran ser transmitidas a un tercero de buena fe, con la consiguiente consolidación de una posición jurídicamente inatacable, y dicho riesgo, una vez que las fincas han sido adjudicadas a favor de la entidad ejecutante no puede preservarse con la mera suspensión del procedimiento, pues solamente la prohibición de disponer o la anotación de la demanda de amparo en el registro de la propiedad, podrían evitar la adquisición irreivindicable por tercero de las fincas.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por ello que el tribunal, atendidas las circunstancias que presenta el supuesto sometido a consideración, estima que de modo alternativo, procedería que se acordara la medida cautelar de anotación preventiva de la demanda de amparo en el registro de la propiedad. Esta medida, como bien indica el Ministerio Fiscal, se evidencia, y así hemos tenido ocasión de declararlo, como medida idónea para evitar el perjuicio derivado de que la adquisición de los bienes inmuebles por terceros de buena fe los hagan irreivindicables, evitando los perjuicios derivados de la paralización de un procedimiento que goza de las características de celeridad y sumariedad. En efecto, con la práctica de la anotación preventiva de la demanda de amparo, se podría lograr, una de las finalidades del registro de la propiedad, esto es, que sea fiel trasunto de la realidad jurídica —en este caso, advertir de la pendencia del presente proceso constitucional— y, por ende, un eficaz instrumento de seguridad jurídica (AATC 18/2012, de 30 de enero, FJ 4; 282/2014, de 17 de noviembre, FJ 5; 29/2015, de 16 de febrero, FFJJ 3 y 4; 50/2015, de 2 de marzo, FJ 4, y 59/2015, de 16 de marzo, FJ 3), que no se podría lograr —una vez adjudicadas las fincas a la entidad ejecutante— mediante la suspensión del procedimiento de ejecución hipotecaria.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hemos afirmado la anotación preventiva es una medida cautelar que este tribunal, de conformidad con el art. 56 LOTC, puede adoptar de oficio o a instancia de parte, con fundamento en el art. 42.1 LH (AATC 274/2002, de 18 de diciembre; 257/2003, de 14 de julio; 230/2007, de 7 de mayo, FJ 3; 415/2007, de 5 de noviembre, FJ 4, y 28/2009, de 26 de enero, FJ 2), pero difícilmente puede acordarse contra la voluntad del solicitante de la medida cautelar, que es quien a la postre deberá satisfacer los correspondientes aranceles derivados de la anotación.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la mercantil recurrente rechaza como medida cautelar adecuada la anotación preventiva, al considerar que no evitaría el riesgo del lanzamiento de los ocupantes de las fincas —riesgo que hemos calificado de insuficiente—, y porque se encuentra imposibilitada de hacer frente a los costes de arancel derivados de la práctica de la anotación registral y que le serían reclamados una vez la misma se hubiera materializado. En tales circunstancias, no pudiendo conceder una medida cautelar contra la voluntad del propio interesado en la misma, procede denegar la práctica de la anotación preventiva interesada por el Ministerio Fiscal con carácter alternativo.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la anotación preventiva de la demanda de amparo en el registro de la propiedad alternativamente interesada por el Ministerio Fiscal. En cualquier caso, ello no impide que, en virtud de circunstancias sobrevenidas o que no pudieron ser conocidas al tiempo de sustanciarse el incidente de suspensión, la mercantil recurrente pueda acudir de nuevo ante este tribunal solicitando la modificación de nuestra decisión al amparo de lo previsto en el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Denegar la suspensión cautelar solicitada del procedimiento de ejecución hipotecaria núm. 207-2019 seguido en el Juzgado de Primera Instancia núm. 3 de Lorca, así como la práctica de la anotación preventiva de la demanda de amparo.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