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5429-2019, promovido por Penrei Inversiones, S.L., contra el auto del Juzgado de Primera Instancia e Instrucción núm. 5 de Lorca, de 12 de julio de 2019, que desestimó el recurso de reposición interpuesto contra el auto, también impugnado, de fecha 21 de septiembre de 2018, por el que se inadmitió por extemporánea la demanda de oposición a la ejecución formulada por dicha mercantil en el procedimiento de ejecución hipotecaria núm. 294-2018, instado por la entidad Banco de Sabadell, S.A. Ha intervenido el Ministerio Fiscal. Se ha personado la entidad Pera Assets Designated Activity Company, actuando como sucesora procesal del banco ejecutante.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septiembre de 2019, la procuradora de los tribunales doña Blanca Berriatua Horta, actuando en nombre y representación de Penrei Inversiones, S.L., bajo la defensa del letrado don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 ahora recurrente de amparo, en su calidad de titular del derecho de uso sobre la finca registral 43.501, inscrita en el Registro de la Propiedad núm. 3 de Lorca. Incoado procedimiento de ejecución hipotecaria (núm. 294-2018), mediante auto de fecha 17 de mayo de 2018, el Juzgado de Primera Instancia e Instrucción núm. 5 de Lorca (en adelante, el juzgado) ordenó la ejecución del título hipotecario, despachó ejecución contra otra entidad y contra la ahora demandante de amparo y dispuso, a continuación,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auto, junto con el decreto que dictará el letrado de la administración de Justicia, y copia de la demanda ejecutiva, serán notificados simultáneamente a la parte ejecutada, tal y como dispone el artículo 553 de la Ley de enjuiciamiento civil (LEC), sin citación ni emplazamiento, para que en cualquier momento pueda personarse en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este auto no cabe recurso alguno, sin perjuicio de que la parte ejecutada pueda oponerse al despacho de ejecución en los términos previstos en el artículo 556 LEC y en el plazo de diez días a contar desde el siguiente a la notificación del presente auto y del decreto que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notificación se produjo a través del servicio de notificaciones electrónicas de la Fábrica Nacional de Moneda y Timbre. Más en concreto, el servicio remitió el 22 de mayo de 2018 un correo electrónico en el que señalaba como asunto “Juzgados y Tribunales – Aviso de Notificación para el NIF B73836173”, dirigida a Penrei Inversiones, S.L., – NIF B73836173. Según el texto del correo, la notificación venía referida al asunto “JDO. 1 INST. E INSTR. N 5 DE LORCA EJH/0000294/2018”, indicándole que la “notificación estará disponible en su dirección electrónica habilitada única desde el 22-05-2018 hasta el 07-07-2018.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certificación emitida por el servicio de notificaciones electrónicas y dirección electrónica habilitada también consta que la notificación tenía como número de referencia el 5b045d87263a7, que fue puesta a disposición del destinatario el 22 de mayo de 2018 y que la fecha de aceptación fue el 7 de julio de 2018, figurando como datos del certificado digital receptor el correspondiente a don José Luis Reverte, en su calidad de representante de la citada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escrito presentado ante el juzgado el día 20 de julio de 2018, la demandante de amparo compareció en el procedimiento, formulando oposición a la ejecución, con su documentación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21 de septiembre de 2018, el juzgado dictó un auto por el que se acordó: “Inadmitir a trámite la oposición formulada por la parte ejecutada […] Penrei Inversiones, S.L., […] por estar presentada fuera de plazo, contra Banco de Sabadell, S.A.”, advirtiendo en pie de recurso que contra dicha resolución cabía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Formalizado recurso de reposición, el juzgado dictó un nuevo auto el 12 de julio de 2019, por el que se desestimó el recurso, conforme a los motivos expuestos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las mismas desde el 1 de enero de 2017 (disposición transitoria cuarta de la Ley 42/2015, de 5 de octubre, de reforma de la LEC) están obligadas a relacionarse con la administración de Justicia por medios electrónicos (art. 14.2 a) de la Ley 39/2015 LPACAP y art. 273.3 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que los recurrentes interpretan de forma errónea la normativa aplicable, se citan los arts. 162.2 LEC; 33.2 y 34 de la Ley 18/11, de 5 de julio; 11.2 del Real Decreto 1065/2015, de 27 de noviembre; y el acuerdo no jurisdiccional del Pleno de la Sala Cuarta del Tribunal Supremo de 6 de julio de 2016, para concluir afirmando la “validez [de] la notificación a personas jurídicas por canales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“en el presente caso, consta que la notificación se puso a disposición de las recurrentes en fecha 22/05/18 no accediendo al contenido hasta el día 07/07/18 […], presentando los escritos de oposición a la ejecución en fecha 20/07/18,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indicó que dicha resolución “es firme, y contra la misma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fue notificado en fecha 15 de julio de 2019 y, junto con el auto de 21 de septiembre de 2018, es el objeto del presente recurso interpuesto por la citada entidad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reconoce que, por ser una persona jurídica, viene obligada a relacionarse con la administración de justicia a través de medios electrónicos. Aclara, no obstante, que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Además, su entidad nunca facilitó una dirección de correo electrónico a efectos de notificaciones telemáticas y, a pesar de ello, se le remitió un aviso que no permitía conocer realmente el objeto del asunto.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 12 de julio de 2019,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expresa de la doctrina de este tribunal sobre la relevancia de los actos de comunicación procesal desde la perspectiva del derecho a la tutela judicial efectiva (entre otras, SSTC 115/1988, 195/1990 y 326/1993), así como de la STC 47/2019, de 8 de abril, que estima plenamente aplicable al presente caso, finaliza solicitando que, con estimación del amparo, se acuerde la nulidad de los autos de 21 de septiembre de 2018 y de 12 de julio de 2019, “reconociendo el derecho individual de Penrei Inversiones, S.L., a obtener una resolución con respeto al derecho a la tutela judicial efectiva, y la nulidad de actuaciones y reposición de todo al momento previo a dictarse el auto de fecha 21 de septiembre de 2018, para que resuelva conforme a derecho, admitiendo a trámite la demanda de oposición al despacho de ejecución” formulada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en el escrito de demanda se argumentó “que la continuación de la ejecución derivada de los pronunciamientos judiciales que han sido objeto de impugnación, con la celebración de subasta y la eventual adjudicación a terceros, pueden hacer perder al recurso de amparo su finalidad”, por lo que se solicitó “la suspensión de la continuación del procedimiento de ejecución hipotecaria 294-2018 seguido ante el Juzgado de Primera Instancia e Instrucción núm. 5 de Lorca, hasta tanto sea resuelto el presente recurso de amparo, poniéndolo en conocimiento del órgano judicial”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29 de junio de 2020 por la que acordó: (i) admitir a trámite el recurso, “apreciando que concurre en el mismo una especial trascendencia constitucional (art. 50.1 LOTC)” porque el recurso “plantea un problema o afecta a una faceta de un derecho fundamental sobre el que no hay doctrina de este tribunal [STC 155/2009, FJ 2, a)]” y porque el recurso “puede dar ocasión al tribunal para aclarar o cambiar su doctrina, como consecuencia de cambios normativos relevantes para la configuración del contenido del derecho fundamental [STC 155/2009, FJ 2 b)]”; (ii) dirigir atenta comunicación al Juzgado de Primera Instancia e Instrucción núm. 5 de Lorca, a fin de que proceda a “emplazar a quienes hubieran sido parte en el procedimiento” de origen, excepto a la “recurrente en amparo”, para poder comparecer en el presente proceso constitucional en el plazo de diez días, y (iii) formar la “oportuna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dictada por la Sección Cuarta de este tribunal en la misma fecha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 Este traslado fue cumplimentado por la parte recurrente, mediante escrito de fecha 9 de julio de 2020, en el que se ratificó en su petición inicial. Por su parte, el Ministerio Fiscal presentó informe en fecha 15 de julio de 2020, en el que interesó que se adoptara únicamente la medida de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acordó por medio del ATC 87/2020, de 22 de julio, dictado por la Sección Cuarta de este tribunal. En el mismo se denegó la suspensión solicitada y se ordenó la anotación preventiva de la demanda de amparo en el registro de la propiedad, con remisión al referido juzgado para la expedición del mandamiento oportuno. Se considera, a tal efecto, que esta medida “se reputa […] suficiente e idónea para evitar el perjuicio derivado de que la adquisición del bien por tercero lo hiciera irreivindicable”, situación a la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23 de noviembre de 2020, la procuradora de los tribunales doña María Claudia Munteanu, actuando en nombre y representación de la entidad Pera Assets Designated Activity Company, bajo la dirección letrada de don Alejandro Ingram Solís, solicitó que se le tuviera por personada en este recurso, en su condición de adquirente de los créditos hipotecarios que anteriormente eran de la titularidad de la entidad Banco de Sabadell, S.A. Estos créditos le habían sido cedidos por ésta en virtud de escritura suscrita el 23 de julio de 2019, ante el notario de Madrid don Carlos de Alcocer Torra.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31 de mayo de 2021, la Secretaría de Justicia de la Sala Segunda de este tribunal dictó diligencia de ordenación por la que se acordó, de un lado, tener por personado y parte a la entidad Pera Assets Designated Activity Company, a través de la procuradora mencionada, y de otro,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30 de junio de 2021. En el mismo interesó que se dictara resolución estimatoria del recurso de amparo reiterando los argumentos expuestos en la demanda. Además, se hace una reseña expresa de la sentencia que resuelve el recurso de amparo núm. 5377-2018, que se corresponde con la STC 40/2020, de 27 de febrero. En esta resolución, por aplicación de las SSTC 6/2019, de 17 de enero, y 47/2019, de 8 de abril, se confirma la doctrina que defiende en este recurso, en torno a la necesidad de que el primer emplazamiento o citación se efectúe en el domicilio de la persona jurídica que figure como demandada, según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escrito de alegaciones el 1 de julio de 2021, por el que interesó de este tribunal que dictara sentencia otorgando el amparo a la recurrente, con reconocimiento de la vulneración de su derecho a la tutela judicial efectiva sin indefensión (art. 24.1 CE), y su restablecimiento mediante la declaración de “nulidad de los autos de 21 de septiembre de 2018 y de 12 de julio de 2019”, así como la “nulidad de las actuaciones realizadas a partir del emplazamiento de la entidad recurrente a través de la dirección electrónica habilitada”, además de la consiguiente retroacción de las actuaciones al momento inmediatamente anterior “al de efectuarse el emplazamiento de la entidad recurrente, debiendo llevarse a cabo de nuevo este por el juzgado ejecutor, de forma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nos encontramos ante el mismo supuesto fáctico y jurídico que ya fue resuelto en sentido estimatorio mediante las SSTC 40/2020, de 27 de febrero; 43/2020, de 9 de marzo, y 103/2021, de 10 de mayo; cuyo contenido extracta. En estas resoluciones se concedió el amparo solicitado por aplicación de la doctrina expuesta, a su vez, en las SSTC 6/2019, de 17 de enero, y 47/2019, de 8 de abril, de las que se deriva la obligatoriedad de que el primer emplazamiento se realice de manera personal y con entrega en papel de la documentación, conforme a lo dispuesto en los arts. 155.1 y 273.4, segundo párrafo,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Secretaría de Justicia se ha dictado diligencia el 5 de julio de 2021, dejando constancia de la presentación de los escritos de alegaciones del Ministerio Fiscal y de la representación procesal de la recurrente en amparo, quedando el asunto concluso y pendiente para deliberación cuando por turno corresponda. No consta presentado dentro del plazo del art. 52.1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8 de julio de 2021,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e instrucción de Lorca, los cuales, tras emplazarlas por vía electrónica a través del servicio de notificaciones electrónicas y de dirección electrónica habilitada de la Fábrica Nacional de Moneda y Timbre, han inadmitido a trámite los ulteriores escritos de oposición a la ejecución, los recursos de reposición o de nulidad de actuaciones, por considerarlos extemporáneos o improcedentes, al entender realizados conforme a Derecho los emplazamientos comunicados a través del sistema de notificaciones telemáticas.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e Instrucción núm. 5 de Lorca, de 21 de septiembre de 2018 y de 12 de julio de 2019, dictados en el proceso hipotecario núm. 294-2018.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en esencia, la vulneración del derecho fundamental a la tutela judicial efectiva (art. 24.1 CE), en su vertiente de derecho a no padecer indefensión, al no haberse efectuado aquel emplazamiento de manera personal y con entrega en papel de la documentación correspondiente, tal y como establecen las normas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del Tribunal Constitucional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27 de febrero, en la que ha tenido la oportunidad de resolver el recurso de amparo cabecera de esta serie, promovido contra dos autos de coincidente contenido con el que ahora se impugna, y donde se dio respuesta a los mismos argumentos que defienden aquí las partes, con fallo estimatorio de la demanda. Descartada en este caso la concurrencia de algún elemento distintivo que obligue a una fundamentación o resultado diferente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el fundamento jurídico 2 se descarta cualquier posible óbice procesal, tanto por falta de agotamiento de la vía judicial previa al amparo [art. 44.1 a) LOTC] como por ser prematuro el amparo. En el primer caso, porque no cabe recurso contra el auto desestimatorio de la reposición, como se indica en el pie de recurso de éste. En el segundo supuesto, porque no es exigible esperar a la finalización del proceso ejecutivo hipotecario a quo, ya que condicionar la interposición de la demanda de amparo a este hecho genera una dilación injustificada que se traduciría en un gravamen adicional o en la intensificación de la lesión constitucional que denuncia, como ya se expuso en las SSTC 39/2015, de 2 de marzo, y 49/2016,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el fundamento jurídico 3 de esa resolución se advierte que es de aplicación la doctrina de este Tribunal plasmada en sus SSTC 6/2019, de 17 de enero, FJ 4 a), dictada en sede de cuestión de inconstitucionalidad, y 47/2019, de 8 de abril, FJ 4 a), recaída en proceso de amparo. En ambos supuestos se afirma la “garantía del emplazamiento personal del demandado o ejecutado en los procesos regidos en esta materia por la Ley de enjuiciamiento civil (directa o supletoriamente), como primera comunicación con el órgano judicial competente, sin que pueda ser sustituida por una comunicación electrónica”, tal y como ocurre con la efectuada a través de la dirección electrónica habilitada. El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constata entonces la STC 40/2020, en su FJ 4, como ha de hacerse también en el presente supuesto,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Por el contrario, el juzgado optó por un emplazamiento electrónico a través del servicio de notificaciones electrónicas y dirección electrónica habilitada de la Fábrica Nacional de Moneda y Timbre, que no está previsto en la normativa procesal para estos casos, y que apenas consistía en un aviso remitiendo a un enlace de internet para poder conocer el contenido de la notificación. Además, para el cómputo del plazo de presentación del escrito de oposición se invocaron normas del procedimiento administrativo común, que son ajenas al ámbito jurisdiccional en el que nos encontramos, en alegal conjunción con el plazo del art. 556 LEC. Todo ello produjo una indebida denegación de su escrito de oposición a la ejecución, lo que determina la estimación del amparo por vulneración de su derecho fundamental a la tutela judicial efectiva sin padecer indefensión (art.24.1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Penrei Inversiones,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21 de septiembre de 2018 y de 12 de julio de 2019, dictados por el Juzgado de Primera Instancia e Instrucción núm. 5 de Lorca en el proceso de ejecución hipotecaria núm. 294-2018, así como la nulidad de las actuaciones realizadas a partir del auto de 17 de mayo de 2018 por el que se acordó el despacho de la ejecución y el requerimiento de pago a la entidad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la entidad ejecutada, debiendo llevarse a cabo de nuevo este trámite por el citado juzgado,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