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julio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5368-2020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5368-2020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290-2018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10 de noviembre de 2020, la entidad Euroinversiones Inmobiliarias Costa Sur, S.L., representada por la procuradora de los tribunales doña Blanca Berriatua Horta y bajo la dirección del letrado don Marcelino Gilabert, interpuso recurso de amparo contra los autos de 21 de septiembre de 2018 y 29 de septiembre de 2020, dictados por el Juzgado de Primera Instancia e Instrucción núm. 5 de Lorca, en el procedimiento de ejecución hipotecaria núm. 290-2018, por los que, respectivamente, se inadmite por extemporánea la demanda de oposición formulada y se confirma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y en la documentación aportada,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290-2018 promovido por la entidad Banco de Sabadell, S.A., frente a la sociedad Euroinversiones Inmobiliarias Costa Sur, S.L., en calidad de prestataria e hipotecante.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servicio de notificaciones de la Fábrica Nacional de Moneda y Timbre remitió a la demandante de amparo, a través de la dirección electrónica habilitada, un aviso de notificación del citado auto que le fue comunicado por dicho medio el 21 de mayo de 2018. En dicha comunicación se informa que la notificación estará disponible hasta el 6 de julio de 2018, accediendo la recurrente de amparo efectivamente a la página web y a la notificación el último día en que la misma se encontraba disponible.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18 de julio de 2018. Por auto de 21 de septiembre de 2018 se acordó su inadmisión por considerar la pretensión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que fue desestimado por auto de 29 septiembre de 2020 con la siguiente argumentación: “Las alegaciones del recurrente no desvirtúan el auto recurrido que es claro y correcto en fundamentación fáctica y jurídica. La presentación de la oposición por la parte ejecutada ha sido extemporánea como aclara el auto recurrido. En fecha 21 de mayo de 2018 se notificó y requirió en legal forma a la demandada a través de la sede judicial electrónica al ser persona jurídica, la remisión fue correcta y no es hasta el día 18 de julio de 2018 cuando se presenta la oposición, claramente fuera del plazo de los diez días que se le concede a la parte ejecutada para presentar su oposición”.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la forma de realizar la notificación debía haber sido por remisión al domicilio de la empresa según lo dispuesto en el art. 155 de la Ley de enjuiciamiento civil y que al hacerlo a través de la sede electrónica no había tenido conocimiento del procedimiento de ejecución hasta el 6 de julio de 2018, tal y como consta en el certificado del servicio del soporte del servicio de notificaciones electrónica y dirección electrónica habilitada, por lo que esta debe ser la fecha a partir de la cual deben comenzar a contar los diez días para poder formular la oposición y, por tanto, su escrito fue presentado dentro del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febrero de 2021 la Sección Primera de este tribunal acordó no admitir a trámite el recurso de amparo por no apreciar en el mismo la especial trascendencia constitucional que, como condición para su admisión, requiere el art. 50.1 b) LOTC (STC 155/2009, de 25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con fecha 23 de febrero de 2021, interpuso recurso de súplica ex art. 50.3 de la Ley Orgánica del Tribunal Constitucional (LOTC) contra la providencia de 10 de febrero de 2021, en el que interesaba que se dejase sin efecto la providencia indicada, dictándose otra en su lugar admitiendo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auto de la Sección Primera de 5 de abril de 2021 se estimó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10 de mayo de 2021 la Sección Primera de este tribunal acordó admitir a trámite el recurso de amparo, apreciando que concurren el mismo una especial trascendencia constitucional (art. 50.1 LOTC) como consecuencia de que el órgano judicial pudiera haber incurrido en una negativa manifiesta del deber de acatamiento de la doctrina de este tribunal [STC 155/2009, FJ 2, f)].</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se acordó dirigir comunicación al Juzgado de Primera Instancia e Instrucción núm. 5 de Lorca, a fin de que, en el plazo de diez días, remitiera certificación o fotocopia adverada de las actuaciones correspondientes a la ejecución hipotecaria núm. 290-2018, debiendo previamente emplazarse, para que en el plazo de diez días pudieran comparecer, si lo desearan, en el recurso de amparo a quienes hubieran sido parte en el procedimiento, excepto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se acuerda formar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misma fecha, la Sección acordó formar la oportuna pieza para la tramitación del incidente de suspensión y, conforme a lo dispuesto en el art. 56 de la Ley Orgánica del Tribunal Constitucional,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escrito presentado el 17 de mayo de 2021, la parte demandante formuló sus alegaciones, reiterando lo dicho en el otrosí de su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Ministerio Fiscal, en escrito registrado el 31 de mayo de 2021, tras exponer la doctrina de este tribunal sobre suspensión de resoluciones y actos impugnados, afirma que este tribunal se ha pronunciado ya en varios recursos de esta misma empresa en asuntos muy similares, con una alegación prácticamente igual para pedir la suspensión. En estos asuntos se ha resuelto sobre la petición de suspensión aplicando la doctrina constitucional, por lo cual considera que procede dar la misma respuesta que en esos procesos, en los que se estima que no procede la suspensión de la ejecución, sino adoptar la medida cautelar de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diligencia de ordenación del secretario de justicia de la Sala Primera de 2 de junio de 2021, al haberse personado en las actuaciones principales del presente recurso la procuradora de los tribunales doña María Claudia Munteanu en nombre y representación de la entidad Pera Assets Designated Activity Company, se concede un plazo de tres días a dicha parte, para que dentro de este término alegue lo que estime pertinente en relación con la petición de suspensión interesada por la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escrito presentado el 9 de junio de 2021, la procuradora de los tribunales doña María Claudia Munteanu, en nombre y representación de Pera Assets Designated Activity Company, presentó su escrito de alegaciones en el que se opone a la suspensión. Tras reproducir distintos autos del Tribunal Constitucional en los que se deniegan las suspensiones interesadas, señala que la recurrente se limita a solicitar la suspensión sin acreditar ningún tipo de perjuicio que pueda considerarse irreparable, teniendo como única finalidad la de entorpecer y demorar el procedimiento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290-2018,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recurridos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de 10 de febrero,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aquí planteado permite concluir, de acuerdo con el Ministerio Fiscal, que resulta improcedente la suspensión solicitada y, por el contrario, es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con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entre otros, en los AATC 27/2020, de 24 de febrero; 2/2019, de 9 de enero; 88/2018, de 17 de septiembre, y 106/2017, de 17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la anotación preventiva constituye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290-2018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julio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