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junio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8216-2021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8216-2021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solicitada por la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diciembre de 2021 tuvo entrada en el registro general de este Tribunal Constitucional un escrito de la procuradora de los tribunales doña Patricia Díaz Muiño, en representación de la entidad Babé y Cía., S.L., asistida por el letrado don Francisco Alejandro Lorente Blanco. En ese escrito se interpuso demanda de amparo contra la sentencia 1483/2020, de 19 de octubre, dictada, en el marco del recurso de suplicación núm. 1257-2020, por la Sala de lo Social del Tribunal Superior de Justicia de Castilla y León (sede de Valladolid), por la que se inadmitió el recurso interpuesto por la ahora recurrente de amparo; y contra el posterior auto de 10 de noviembre de 2021 de la Sala de lo Social del Tribunal Supremo, por el que se declaró la inadmisión del recurso de casación para la unificación de doctrina interpuesto contra la resolución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marco del procedimiento de ejecución de títulos judiciales núm. 93-2018, el Juzgado de lo Social núm. 3 de León dictó el auto de 16 de agosto de 2019, por el que se declaró extinguida la relación laboral que unía a don Simón Ronda Albala con las empresas Babé y Cía., S.L., y González Fierro, S.A., así como al pago, solidariamente, de una determinada cantidad en concepto de indemnización, con descuento de los abonos ya realizados. En su fundamentación, el juzgado justifica su decisión en que, una vez decretada en un procedimiento anterior la readmisión del trabajador por despido nulo, las dos empresas habían incurrido en fraude de ley, para impedir el cumplimiento de la obligación de readmisión, al suprimir el centro de trabajo de la entidad González Fierro, S.A., ubicado en el lugar de residencia del trabajador (León), y le habían asignado un destino en la localidad de Redondela (Pontevedra), situada a casi 400 kilómetros de distancia, donde se encuentra la sede social de la entidad Babé y Cía., S.L. El posterior recurso de reposición fue desestimado por medio de auto de 8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empresas ejecutadas anunciaron la interposición de un recurso de suplicación contra el citado auto, consignando la entidad ahora recurrente el correspondiente depósito para recurrir y aportando un aval bancario por la cantidad que entendía como debida. Por diligencia de ordenación de 30 de octubre de 2019, el juzgado tuvo por anunciado el citado recurso, al entender cumplidos todos los requisitos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instancias del trabajador, se dictó una nueva diligencia de ordenación en fecha 11 de diciembre de 2019, por la que el letrado de la administración de justicia acordó requerir a las empresas recurrentes para que completaran la consignación con unas cantidades adicionales. En el caso de la entidad ahora recurrente, a la cantidad inicialmente avalada (88 158,67 €), se debía añadir un total de 99 166,18 € más. A tal efecto, se les concedió un plazo de cinco días hábiles, con la advertencia de que, en caso de no efectuar la consignación, se pondría fin al trámite del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13 de diciembre de 2019, es decir, dentro de esos cinco días, la entidad Babé y Cía., S.L., presentó un escrito ante el Juzgado de lo Social solicitando una ampliación del plazo concedido. Ante esta petición, el letrado de la administración de justicia dictó en fecha 17 de diciembre de 2019 una nueva diligencia de ordenación por la que se accedía a lo interesado, “invocando el principio de seguridad jurídica y el elevado importe del aval bancario solicitado”. El plazo fue ampliado en cinco días hábiles más, que debían sumarse a los inicialmente concedidos. Dentro del nuevo plazo ampliado, la entidad Babé y Cía., S.L., aportó un aval bancario por la cantidad total requerida. El recurso de esta entidad se consideró debidamente formalizado por diligencia de ordenación de 13 de enero de 2020. La otra empresa no completó la consignación.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del trabajador impugnó la diligencia de concesión del nuevo plazo, recurso que fue desestimado por el letrado de la administración de justicia por medio de decreto de 7 de julio de 2020. En su resolución, el letrado de la administración de justicia justificó la ampliación del plazo en que “ambas empresas habían presentado sendos avales en tiempo y forma, si bien insuficientes […], [en] la cantidad del aval y el periodo navideño en que coincidió [el] requerimiento”. Este decreto no fue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recurso de suplicación fue inadmitido por la Sala de lo Social del Tribunal Superior de Justicia de Castilla y León (Valladolid), en sentencia de 19 de octubre de 2020. En su resolución, la Sala considera que el principio de improrrogabilidad de los plazos [arts. 43.3 de la Ley reguladora de la jurisdicción social y 134.1 de la Ley de enjuiciamiento civil (LEC)] impedía conceder la ampliación solicitada por la entidad recurrente. La excepción contemplada en el art. 134.2 LEC ha de ser interpretada en sentido restrictivo, por lo que solo admite la interrupción o demora (que no ampliación) por causa de fuerza mayor que, en este caso, a juicio de la sala, no concurría. Por lo tanto, considera que la consignación de las cantidades fue llevada a efecto fuera de plazo, por lo que el recurso debía ser inadmitido, sin entrar en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sentencia dictada por el Tribunal Superior de Justicia fue impugnada en casación para unificación de doctrina, recurso que fue inadmitido por sentencia de la Sala de lo Social del Tribunal Supremo de fecha 10 de noviembre de 2021, al no apreciarse identidad entre la sentencia impugnada y la aportada de contraste.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Notificada la anterior resolución se interpuso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la vulneración del derecho a la tutela judicial efectiva sin indefensión (art. 24.1 CE), en su vertiente de derecho de acceso al recurso; en relación con el derecho a no sufrir discriminación (art. 14 CE) y 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escrito se hace una reseña de los antecedentes de hecho que consideró de interés, entre los que destaca su discrepancia con la cuestión de fondo planteada en el procedimiento ante la jurisdicción social, asegurando que el auto de 16 de agosto de 2019 incurre en el error de considerar que el trabajador ejercía como conductor, cuando en realidad era jefe de servicio, por lo que no podía asignársele un destino en León, ya que la empresa carece de sede en esa ciudad. Con independencia de lo anterior, la parte recurrente sostiene que su actuación no merece reproche alguno y mucho menos el efecto que le asigna el Tribunal Superior de Justicia (la inadmisión de su recurso sin entrar en el fondo). Si la diligencia de ordenación de 17 de diciembre no hubiese accedido a la ampliación del plazo para subsanar la consignación, el recurrente habría tenido la oportunidad de cumplir el plazo inicialmente concedido, a sabiendas de que, si no lo hacía, el recurso de suplicación sería inadmitido. Sin embargo, al admitirse la ampliación, esa parte actuó en la confianza legítima de que su comportamiento estaba ajustado a Derecho. Se hace mención también del derecho a la intangibilidad de las resoluciones firmes (con cita de las SSTC 119/1989 y 142/1992), indicando que el derecho fundamental reconocido en el art. 24.1 CE actúa como límite que impide a los tribunales revisar las sentencias y demás resoluciones firmes al margen de los supuestos taxativamente previstos por ley, incluso en la hipótesis de que, con posterioridad entendieran que la decisión judicial no es ajustada a la legalidad (cita, entre otras, la STC 34/1993).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si nuestro ordenamiento permitiese que, una vez concedida una ampliación de plazo por el órgano competente para ello, y firme la decisión, pudiese valorarse de nuevo la pertinencia o no de dicha decisión firme, se estaría generando una absoluta inseguridad a las partes que obren según los dictados de los órganos judiciales. El instituto de la firmeza derivaría en inútil y se dotaría a nuestro sistema judicial de una gran fragilidad e inseguridad. Cita, sobre el principio de seguridad jurídica, las SSTC 27/1981, 46/1990 y 193/2009. En conclusión, desde el momento en el que se le reconoció por el letrado de la administración de justicia la concesión de una ampliación del plazo, y la resolución que contenía esa decisión devino firme, debería tener la certeza de que tal decisión no va a poder ser reexaminada de nuevo. Máxime cuando de esa decisión pende la admisibilidad o no del recurso que se pretende interponer y la conducta de la parte ha sido irreprochable. Pero, incluso en el caso de estimarse que la ampliación del plazo fue indebida, la única forma de no vulnerar el derecho a la tutela judicial efectiva de la recurrente sería la retroacción del proceso al momento en el que el letrado de la administración de justicia dictó su diligencia concediendo la ampliación del plazo, no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motivo de especial trascendencia constitucional se alegó que el recurso daba oportunidad al tribunal de abordar una cuestión novedosa [apartado a) del FJ 2 de la STC 155/2009], como era valorar si la inadmisión de un recurso por incumplimiento de los plazos de subsanación, cuando existe una resolución judicial firme que otorga la ampliación de tal plazo y la parte lo cumplimenta dentro del mismo, vulnera o no su derecho a la tutela judicial efectiva. En el marco de la justificación de este presupuesto procesal, la demanda considera que en este caso se vería también afectado el derecho a la igualdad de los administrados. La privación a cualquier administrado del derecho a obtener la tutela judicial efectiva supone una discriminación por el hecho de haber seguido las indicaciones del órgano judicial. Y tal discriminación no tendría justificación alguna, porque esa parte no actuó de forma temeraria ni imprudente, sino dentro de los derechos que le confiere la ley, solicitando al letrado de la administración de justicia la ampliación del plazo para consignar. Por tanto, la desigualdad de trato, respecto a cualquier otro que sí obtenga un pronunciamiento sobre el fondo de un asunto, no tiene justificación legítima y no debe ser consentida.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se solicita la “suspensión cautelar del fallo contenido en las sentencias recurridas”, con fundamento en el art. 56 de la Ley Orgánica del Tribunal Constitucional (LOTC), considerando que se dan los presupuestos para la adopción de esa medida cautelar. En primer lugar, la “apariencia de buen derecho”, reiterando los motivos que fundamentan la demanda. En segundo lugar, que las resoluciones impugnadas le causan un “perjuicio de difícil o imposible reparación”. En este punto, expone la actual coyuntura económica de la empresa y del sector del transporte en general. Describe una serie de indicadores como la deuda bancaria, el fondo de maniobra y la previsión de tesorería, aportando las cuentas anuales de la empresa correspondientes al año 2020. Con esos datos, afirma que el pago requerido por los órganos judiciales solo puede afrontarlo mediante financiación externa, que “hoy en día no es capaz” de encontrar, adjuntando la copia de un correo electrónico por el que una entidad bancaria le deniega una operación de “préstamo para cubrir los avales”, sin mayor concreción sobre la misma. En tercer lugar, considera que la medida no “causaría una grave perturbación a los intereses generales o de terceros”, lo que se evidencia por el tiempo ya transcurrido entre el anuncio del recurso de suplicación y el presente recurso. Para la entidad recurrente, desembolsar la cantidad requerida (187 324,85 €), que ya tuvo que avalar para interponer el recurso luego inadmitido, le puede suponer serias dificultades para continuar con la actividad de la empresa, mientras que para el trabajador no sería una suma “necesaria para poder vivir, sino sin duda, para poder vivir más cómodamente”.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virtud de providencia de la Sección Cuarta de fecha 9 de mayo de 2022, se acordó la admisión a trámite de este recurso de amparo, apreciando que concurre en el mismo una especial trascendencia constitucional (art. 50.1 LOTC), “porque el recurso plantea un problema o afecta a una faceta de un derecho fundamental sobre el que no hay doctrina de este tribunal [STC 155/2009, FJ 2 a)]”. Además, en la misma resolución se decidió la formación de pieza separada de suspensión. En esta pieza se acordó en la misma fecha conceder audiencia a la parte recurrente y al Ministerio Fiscal para que manifestaran lo que estimaran pertinente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16 de mayo de 2022 tuvo entrada el escrito de alegaciones de la parte recurrente. En el mismo se reiteran los argumentos expuestos en la demanda, añadiendo que la situación del sector se ha agravado durante los primeros meses del año 2022, por la “subida de precios histórica del combustible y la guerra de Ucrania”, así como el “conocido paro general” que tuvo lugar “desde el 14 de marzo”. Aporta, a tal efecto, un informe de la situación financiera de la empresa, cerrado a 1 de mayo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30 de mayo de 2022 tuvo entrada en el registro de este tribunal el escrito de alegaciones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una referencia a los antecedentes del caso, el fiscal expone la doctrina de este tribunal sobre la suspensión de las resoluciones impugnadas en amparo. A tal efecto, cita y reseña parcialmente los AATC 1/2016, de 18 de enero, FJ 1, y 172/2019, de 16 de diciembre, FJ 2, entre otros. Y, en el caso concreto de los perjuicios de carácter patrimonial o económico, desarrolla la doctrina contenida en el ATC 9/2018, de 5 de febrero, FJ 2. Finalmente, reitera la jurisprudencia constitucional sobre la carga de la prueba acerca de los perjuicios irreparables alegados, con reseña parcial del ATC 36/2007, de 12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al caso concreto conduce, según el fiscal, a la desestimación de la pretensión planteada. En primer lugar, sobre la apariencia de buen derecho, la doctrina del tribunal descarta que se pueda hacer un análisis sobre la cuestión de fondo en este momento procesal, lo que supondría una anticipación del fallo. En segundo lugar, en cuanto a los perjuicios irreparables, considera que la carga de la prueba corresponde a la entidad demandante, y que los documentos aportados no son suficientes a tal fin. Sin pretender realizar un análisis contable exhaustivo, el fiscal destaca el volumen total de negocio de la empresa (22 946 678,69 €), el activo corriente (5 244 587,64 €), el patrimonio neto —fondos propios— (3 054 750,84 €), o los sueldos y salarios del personal (5 688 627,60 €). Con estas cifras, y aún sin discutir los gastos de la entidad o las dificultades coyunturales por las que atraviesa el sector, el Ministerio Fiscal entiende que, al tratarse de unos eventuales perjuicios económicos, admiten su reparación salvo supuestos excepcionales que, a su juicio, no concurren en este caso. En tercer lugar, descartada la irreparabilidad de los perjuicios, no procede conceder la suspensión y, en consecuencia, abordar la posible perturbación de los intereses o derechos de terceros. No obstante, el retraso en el cobro sí puede suponer una grave perturbación para los intereses del trabajador, y la empresa no ha acreditado que el trabajador quede en una situación menos precaria que la entidad recurrente. Concluye, por tanto, su escrito interesando que no se acuerde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recurrente en amparo. Esta medida consiste en la “suspensión cautelar del fallo contenido en las sentencias recurridas”, es decir, la sentencia 1483/2020, de 19 de octubre, dictada en el marco del recurso de suplicación núm. 1257-2020 por la Sala de lo Social del Tribunal Superior de Justicia de Castilla y León (sede de Valladolid), por la que se inadmitió el recurso interpuesto por la ahora recurrente de amparo; y contra el posterior auto de 10 de noviembre de 2021 de la Sala de lo Social del Tribunal Supremo, por el que se declaró la inadmisión del recurso de casación para la unificación de doctrina interpuesto contra la resolución anterior. Por su parte, el Ministerio Fiscal ha interesado que no se acuerde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interpretación conjunta de ambos apartados configura la suspensión de la ejecución de las resoluciones firmes como una medida excepcional y, por lo tanto, de interpretación restrictiva (ATC 117/2015, de 6 de julio,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perjuicios de carácter patrimonial o económico se ha señalado que, por más que puedan producir efectos desfavorables a quien demanda en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 De ahí que se haya accedido a la suspensión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 (ATC 117/2018, de 29 de octubre, FJ 2; en el mismo sentido AATC 21/2018, de 5 de marzo, FJ 2, y 66/2008, de 25 de febrero, FJ único)” (ATC 49/2020, de 15 de junio, FJ 3, que también recuerda la carga que pesa sobre quien solicita la medida, de acreditar la imposibilidad o la dificultad de reparación del derecho si se ejecuta la resolución)» (ATC 105/2020, de 21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Expuesta la doctrina de este tribunal, nos encontramos en condiciones de resolver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primero que se debe aclarar es que, conforme a reiterados pronunciamientos de esta jurisdicción —ya citados—, la eventual prosperabilidad del recurso (la “apariencia de buen derecho” alegada por la entidad recurrente) no puede ser objeto de ponderación en este momento procesal. El art. 56 LOTC no lo contempla como presupuesto para la adopción de medidas cautelares, y su valoración podría suponer una anticipación del fallo que no procede realizar en esta fase del procedimiento, puesto que las partes no se han pronunciado todavía sobre el fondo de las pretensiones formuladas.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los términos de la demanda y de las alegaciones planteadas en esta pieza permiten constatar que la petición de la demandante presenta una indudable naturaleza pecuniaria. Se trata de paralizar la ejecución de lo acordado en las resoluciones judiciales impugnadas, por los perjuicios de carácter económico que se pudieran causar a la entidad recurrente, y que esta considera de muy difícil o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Centrada así la cuestión, este tribunal no discute la dificultad de la situación general del sector del transporte, ni de la empresa recurrente. Sin embargo, lo que se trata de valorar en esta pieza separada es si una ejecución de las resoluciones impugnadas pudiera generar un perjuicio de tal entidad que el recurso perdiera su finalidad, para el caso de que fuera estimado. En este punto, hemos de coincidir con el Ministerio Fiscal en que la documentación aportada no permite adverar esa irreversibilidad de la situación económica que justifique la adopción de una medida como la solicitada. Con independencia de las circunstancias por las que atraviesa la empresa, nos encontramos ante una entidad que cuenta con un volumen considerable de negocio y de personal. Un examen detallado de la documentación contable aportada, correspondiente a un ejercicio especialmente difícil como fue el año 2020, excede del objeto de esta resolución. No obstante, y aunque la cantidad requerida no es desdeñable —casi 190 000 €—, supone una cifra inferior al 1 por 100 del volumen total de negocio de la empresa, e inferior también al 3 por 100 de los gastos de personal —incluyendo las cargas sociales—. Por ello, incluso contando con las dificultades de flujos de efectivo, o los gastos por deudas, amortizaciones e inversiones, que se deducen de un examen sumario de la documentación aportada, no es posible vislumbrar una irreparabilidad de los perjuicios derivados del abono de las cantidades requeridas por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ausencia de una mínima acreditación de uno de los elementos que, conforme a lo dispuesto en el art. 56 LOTC, deben ser objeto de ponderación para la adopción de la medida solicitada, excluye la necesidad de realizar una ulterior valoración sobre los eventuales perjuicios que pudieran generarse para los derechos o intereses de terceros que, en este caso, podrían no ser nada desdeñables, desde la perspectiva del trabajador afectado. Como ya se ha expuesto, la medida cautelar solo procede si con ella se puede evitar que la estimación del amparo sea ilusoria y si, además, no se causa una grave perturbación para un interés constitucionalmente protegido o para los derechos fundamentales o libertades de otra persona. La falta del primer presupuesto impide continuar con el análisis del resto de elementos de ponderación.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conforme a la doctrina de este tribunal, la pretensión no puede prosperar.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solicitada por la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junio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