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5094-2021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5094-2021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suspensión cautelar solicitada del procedimiento de ejecución hipotecaria núm. 826-2015, seguido en el Juzgado de Primera Instancia núm. 2 de Fuenlabrada.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22 de julio de 2021, ratificado por el procurador de los tribunales don Luis Arredondo Sanz —designado por el Colegio de Abogados de Madrid el 3 de septiembre de 2021—, en nombre y representación de doña María Henar Castaño Jorge, y bajo la dirección letrada de doña Catherine Pérez-Ruibal del Águila, se interpuso recurso de amparo contra los autos de 25 de marzo y 7 de julio de 2021, dictados por el Juzgado de Primera Instancia núm. 2 de Fuenlabrada en el procedimiento de ejecución hipotecaria núm. 826-2015, por la que se inadmite la solicitud de revisión de diversas cláusulas abusivas y se confirma dicha decisión al desestimar el recurso de revisión.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núm. 2 de Fuenlabrada se sigue procedimiento de ejecución hipotecaria núm. 826-2015, promovido por Ibercaja Banco, S.A., (antes, Caja de Ahorros y Monte de Piedad de Zaragoza, Aragón y Rioja, Ibercaja), frente a la demandante de amparo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28 de mayo de 2015 se acordó despachar la ejecución contra los ejecutados, y una vez designado abogado y procurador a la demandante de amparo, el 11 de septiembre de 2015 presentó escrito de oposición a la ejecución, en el que alegó que los “contratos suscritos contienen cláusulas abusivas”, y solicitó la nulidad de 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10 de febrero de 2016, el Juzgado de Primera Instancia núm. 2 de Fuenlabrada, declaró nula por abusiva la cláusula de intereses moratorios, desestimando el carácter abusivo de la cláusula de vencimiento anticipado y del pacto de liquidez, indicando que el resto de “planteamientos exceden del ámbito de la presente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25 de mayo de 2017, se acordó la suspensión del curso de las actuaciones hasta la resolución de la cuestión prejudicial planteada ante el Tribunal de Justicia de la Unión Europea por el Tribunal Supremo mediante auto de 8 de febrero de 2017. Resuelta la cuestión prejudicial por STJUE de 26 de marzo de 2019, el Juzgado de Primera Instancia núm. 2 de Fuenlabrada dictó auto el 25 de marzo de 2021 por el que acordó alzar la suspensión y proseguir el proceso de ejecución. En su razonamiento se indicaba: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dictó sentencia del Tribunal de Justicia de la Unión Europea de 26 de marzo de 2019 y la sentencia del Tribunal Supremo de 11 de septiembre de 2019 que recoge las pautas u orientaciones jurisprudenciales a los procedimientos de ejecución hipotecaria en curso, en los que no se haya producido todavía la entrega de la posesión al adquirente’.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en el presente proceso ya existe un pronunciamiento firme que rechazó la nulidad de la cláusula de vencimiento anticipado, auto de 10 de febrero de 2016 que goza de la autoridad de cosa juzgada. Resolución en la que se aplicaba el criterio mantenido en ese momento por la Audiencia Provincial de Madrid y recogido en la Junta de Magistrados de las Secciones Civiles de la Audiencia Provincial de Madrid celebrada el día 30 de septiembre de 2014, por lo que no procede ahora efectuar el análisis del carácter abusivo de la referida cláusula.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la sentencia de la Sala 1ª del Tribunal de Justicia de la Unión Europea de 26 de enero de 2017 en su párrafo 54, al responder a las cuestiones prejudiciales primera a tercera, nos da la respuesta indicando que ‘[l]a Directiva 93/13 debe interpretarse en el sentido de que no se opone a una norma nacional, como la que resulta del artículo 207 de la LEC, que impide al juez nacional realizar de oficio un nuevo examen del carácter abusivo de las cláusulas de un contrato cuando ya existe un pronunciamiento sobre la legalidad del conjunto de las cláusulas de ese contrato a la luz de la citada Directiva mediante una resolución con fuerza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demandante de amparo, mediante escrito de 6 de abril de 2021, interpuso recurso de reposición frente al mencionado auto al considerar que se había vulnerado su derecho a la tutela judicial efectiva, con la consiguiente indefensión, por cuanto no se han analizado de oficio todas las cláusulas abusivas existentes en el presente contrato de préstamo ya que el juzgado se limitó a analizar sólo las cláusulas alegadas, pero no realizó el examen de oficio de todas las cláusulas por lo que no existe cosa juzgada de las pretensiones. Con cita de la STC 31/2019, de 28 de febrero, refiere que el Tribunal Constitucional, interpretando las resoluciones del Tribunal de Justicia, entiende que no se ha producido el efecto de cosa juzgada y abre la vía a la posible alegación de abusividad de aquellas cláusulas que no cuenten con una resolución expresa sobre su validez. Añade, que el contrato de préstamo con garantía hipotecaria tiene al menos nueve cláusulas abusivas evidentes: la de vencimiento anticipado, intereses de demora, cláusula suelo, intereses ordinarios devengados, en base año de 360 días, tipo de interés variable, índice de referencia de préstamos hipotecarios, comisiones, gastos a cargo de la prestataria, imposición de sociedad tasadora, prohibición de arrendar, enajenar y gravar,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del Juzgado de Primera Instancia núm. 2 de Fuenlabrada de 3 de julio de 2021 se desestimó el recurso de reposición. En la fundamentación del auto se indica que el recurso debe ser desestimado puesto que en su momento se formuló por la ahora recurrente oposición a la ejecución, resuelta por auto de 10 de febrero de 2016, que devino firme. Auto que produce efecto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fecha 25 de febrero de 2022 se dictó diligencia de ordenación por la letrada de la administración de justicia, en la que se daba traslado a la entidad ejecutante por el plazo de cinco días para que, si le conviniere, solicite la adjudicación del inmueble subastado.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denuncia en primer lugar la vulneración del derecho a la tutela judicial efectiva (art. 24.1 CE), y a no sufrir indefensión como consecuencia de la negativa del juzgado a controlar la abusividad de todas las cláusulas del contrato de préstamo con garantía hipotecaria; y en segundo lugar considera que se ha vulnerado el principio de supremacía del Derecho de la Unión y de la jurisprudencia del Tribunal de Justicia de la Unión Europea, quebrantamiento del derecho a la tutela judicial efectiva (art. 24.1 CE), como manifestación del derecho a un juicio justo, ex art. 6 del Convenio europeo de derechos humanos, por incumplimiento del órgano jurisdiccional de la doctrina plasmada en la STC 31/2019,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Refiere que en el auto de 10 de enero de 2016, no se realizó un control de oficio de todas las cláusulas abusivas existentes en el contrato limitándose el juzgado a analizar las propuestas en ese momento por esta parte, concretamente la de intereses moratorios, de vencimiento anticipado y de liquidez, sin entrar en el análisis de todas las existentes, pues el contrato suscrito contiene al menos nueve cláusulas abusivas: la de vencimiento anticipado, intereses de demora, cláusula suelo, intereses ordinarios devengados en base al año de 360 días, tipo de interés variable, índice de referencia de préstamos hipotecarios, comisiones, gastos a cargo de la prestataria, imposición de sociedad tasadora, prohibición de arrendar, enajenar y gravar, entre otras que, de acuerdo con el derecho europeo, el órgano judicial estaba obligado a realizar un control de oficio y a anular las citadas cláusulas abusivas.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resulta concluyente, en efecto, la especial incidencia que se hizo en la STC 31/2019 a la irrazonabilidad que, desde la perspectiva del artículo 24.1 CE, implica argumentar que se había realizado un determinado control judicial en una resolución que carecía de ningún razonamiento expreso sobre el particular, como ocurre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considera que la jurisprudencia del Tribunal de Justicia de la Unión Europea en materia de cláusulas abusivas, obliga a los tribunales a examinar de oficio y en cualquier momento del proceso el carácter abusivo de las cláusulas del contrato sobre las que no ha recaído una decisión judicial con la fuerza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solicita que se acuerde declarar vulnerado el derecho de la demandante de amparo a la tutela judicial efectiva (art. 24.1 CE) y se declare la nulidad de los autos de 25 de marzo y de 7 de julio dictados por el Juzgado de Primera Instancia núm. 2 de Fuenlabrada en el procedimiento de ejecución hipotecaria núm. 826-2015, así como las resoluciones posteriores a aquellos.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y con el fin de evitar daños y perjuicios de imposible o difícil reparación solicita la suspensión cautelar de la ejecución mientras se resuelve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julio de 2022, la Sala Primera de este tribunal acordó admitir a trámite el recurso de amparo y dirigir atenta comunicación al Juzgado de Primera Instancia núm. 2 de Fuenlabrada, a fin de que, en plazo que no excediera de diez días, emplace a quienes hubieran sido parte en el proceso del que trae causa el presente recurso de amparo, excepto la parte recurrente en amparo, para que pudieran comparecer en el mismo en el plazo de diez días. También se acordó formar la correspondiente pieza separada de suspensión, en la que, por diligencia de ordenación de la misma fecha, conforme a lo dispuesto en el art. 56 de la Ley Orgánica del Tribunal Constitucional (LOTC), se concedió un plazo común de tres días a la parte solicitante de amparo y al Ministerio Fiscal para que alegaran lo que estimasen pertinente sobre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escrito registrado el 27 de junio de 2022, la parte recurrente presentó sus alegaciones, ampliando las expuestas en la demanda de amparo respecto de la solicitud de suspensión. Afirma que carece de ingresos regulares, es madre de tres hijos, dos de ellos menores de edad, todos ellos residen en la misma vivienda y no tienen otro lugar donde vivir. Por otro lado, se da la circunstancia que la parte contraria es una entidad financiera, concretamente Ibercaja Banco, S.A., propietaria de numerosas viviendas desocupadas, por lo que, el hecho de que se suspenda la ejecución de la sentencia, no supone una grave perturbación de sus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presentado el 14 de julio de 2022, formuló alegaciones oponiéndose a la suspensión de la ejecución solicitada y en su lugar, considera procedente acordar la medida cautelar de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doctrina constitucional en la materia, destaca el fiscal, que las circunstancias que presenta el supuesto sometido a consideración no permiten afirmar que la continuación del curso del procedimiento judicial, incluso si se produjera un desplazamiento posesorio, provoque por sí sola un perjuicio determinante de la perdida de la finalidad del presente recurso de amparo. Es por ello que se opone a la medida de suspensión de la ejecución interesada, y considera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medidas provisionales de suspensión del procedimiento de ejecución hipotecaria núm. 826-2015 cuestionado y de anotación preventiva de la demanda de amparo en el registro de la propiedad, interesadas la primera por la demandante de amparo y la segunda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la demandante razones familiares y económicas para que se acuerde la suspensión del procedimiento de ejecución hipotecaria. El fiscal considera que de las actuaciones remitidas no resulta que la continuación del curso del procedimiento judicial, incluso si se produjera un desplazamiento posesorio, provoque por sí solo un perjuicio determinante de la pérdida de la finalidad del recurso de amparo. Afirma que procede la anotación preventiva de la demanda de amparo al objeto de evitar actos de disposición de la vivienda afectada en favor de terceros de carácter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admitido de forma reiterada —entre otros muchos, en los AATC 74/2013, de 8 de abril, FJ 2; 152/2013, de 8 de julio, FJ 2; 37/2014, de 10 de febrero, FJ 2; 59/2015, de 16 de marzo, FJ 2; 48/2016, de 29 de febrero, FJ 2; 106/2017, de 17 de julio, FJ 1, y 21/2018, de 5 de marzo, FJ 3—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que resulta procedente la suspensión solicitada. Para alcanzar dicha conclusión debe tomarse en consideración que se ha celebrado la subasta del inmueble hipotecado, que constituye la vivienda de la recurrente en amparo y de sus hijos y se ha facultado a la ejecutante para que solicite la adjudicación del inmueble subastado mediante diligencia de ordenación de 25 de febrero de 2022, dictada por la letrada de la administración de justicia. Dicha situación permite advertir el previsible riesgo de que por la ejecutante se promueva la ejecución del desalojo y el lanzamiento de la ejecutada y de su familia de la vivienda. Ello abocaría a una situación difícilmente reversible, que podría hacer perder al presente recurso de amparo su finalidad. Por lo demás, no se advierte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suspensión cautelar solicitada del procedimiento de ejecución hipotecaria núm. 826-2015, seguido en el Juzgado de Primera Instancia núm. 2 de Fuenlabrada.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