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703/95, interpuesto por don José Roig Espert, representado por el Procurador de los Tribunales don José Luis Barneto Arnáiz y bajo la dirección del Letrado don Miguel R. Mancebo Monge, frente a la Sentencia de la Sección Sexta de la Sala Tercera del Tribunal Supremo, de 17 de enero de 1995, recaída sobre el recurso contencioso- administrativo núm. 195/90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 de marzo de 1995, don José Roig Espert, bajo la representación procesal del Procurador de los Tribunales Sr. Barneto Arnáiz, interpuso demanda de amparo constitucional contra la Sentencia de la Sala Tercera del Tribunal Supremo (Sección Sexta) de 17 de enero de 1995, recaída en el recurso contencioso-administrativo núm. 195/90,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 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6 de julio de 1988, esto es, un año y dos días después de la fecha de la publicación de la Sentencia, aunque un día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la Sentencia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Cuarta acordó admitir a trámite la demanda. Asimismo, y de conformidad con lo dispuesto en el art. 51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9 de octubre de 1995, la Sección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8 de noviembre de 1995, en el que se resumen y reiteran cuantos argumentos fueron ya expuestos en el escrito de interposición de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el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esta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 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26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6 de noviembre de 1997, la Sala acordó señalar para deliberación y votación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STC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