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2.824/96 promovido por don Antonio de la Cruz Hidalgo, representado por el Procurador de los Tribunales don Ángel Martín Gutiérrez y asistido del Letrado don Juan Durán Fuentes, contra la Sentencia de la Sala de lo Social del Tribunal Superior de Justicia de Madrid, de 7 de julio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julio de 1996, el Procurador de los Tribunales don Ángel Martín Gutiérrez, en nombre y representación de don Antonio de la Cruz Hidalgo, interpuso recurso de amparo contra la Sentencia de la Sala de lo Social del Tribunal Superior de Justicia de Madrid de 7 de julio de 1995, estimatoria del recurso de suplicación interpuesto contra la dictada por el Juzgado de lo Social núm. 30 de Madrid en 3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y así lo comunicó a la empresa el responsable de la dependencia donde aquél desarrolla su labor,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30 de Madrid, en Sentencia de 3 de marzo de 1995, condenó a la empresa a abonar al recurrente una indemnización de 100.000 ptas. por lesión de sus derechos de libertad sindical y huelga, porque la clave de la nómina relativa a la cuota sindical fue determinante para llevar a cabo el descuento.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7 de julio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22 de mayo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22 de julio de 1996 acordó, a tenor de lo dispuesto en el art. 50.5 LOTC, otorgar al Procurador Sr. Martín Gutiérrez un plazo de diez días para que aportara la escritura de poder original acreditativa de su representación o compareciera en unión de su representado a otorgar el apoderamiento apud acta que previene el art. 281.3 L.O.P.J. </w:t>
      </w:r>
    </w:p>
    <w:p w:rsidRPr="00C21FFE" w:rsidR="00F31FAF" w:rsidRDefault="00356547">
      <w:pPr>
        <w:rPr/>
      </w:pPr>
      <w:r w:rsidRPr="&lt;w:rPr xmlns:w=&quot;http://schemas.openxmlformats.org/wordprocessingml/2006/main&quot;&gt;&lt;w:lang w:val=&quot;es-ES_tradnl&quot; /&gt;&lt;/w:rPr&gt;">
        <w:rPr/>
        <w:t xml:space="preserve">La Sección en providencia de 28 de octubre de 1996 acordó admitir a trámite la demanda de amparo, sin perjuicio de lo que resulte de los antecedentes y, a tenor de lo dispuesto en el art. 51 LOTC, requerir atentamente a las Salas de lo Social del Tribunal Supremo y del Tribunal Superior de Justicia de Madrid y al Juzgado de lo Social núm. 30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10 de febrero de 1997 acordó tener por personada y parte a la Procuradora doña María Teresa de las Alas-Pumariño Larrañaga, en nombre y representación de RENFE; tener por recibidos los testimonios de las actuaciones remitidos y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de 24 de enero de 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Tales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trabajadores que se sumaron a la huelga eran de CC.OO. y en menor medida de C.G.T., aunque también la secundaron afiliados a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por lesión del derecho de libertad sindical. Ante todo, plantea el problema de si puede entenderse cumplido el requisito previsto en el art. 44.1 a) LOTC por la utilización incorrecta de la vía recursal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esta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insistió en las alegaciones ya vertidas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23 de febrero de 1998 se señaló para deliberación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Sala en la reciente STC 11/1998 de 13 de enero, dictada en el recurso de amparo núm. 2.264/96, enjuiciando una resolución judicial recaída en un supuesto de hecho sustancialmente igual al presente y a la que se imputaba una idéntica tacha de</w:t>
      </w:r>
    </w:p>
    <w:p w:rsidRPr="00C21FFE" w:rsidR="00F31FAF" w:rsidRDefault="00356547">
      <w:pPr>
        <w:rPr/>
      </w:pPr>
      <w:r w:rsidRPr="&lt;w:rPr xmlns:w=&quot;http://schemas.openxmlformats.org/wordprocessingml/2006/main&quot;&gt;&lt;w:lang w:val=&quot;es-ES_tradnl&quot; /&gt;&lt;/w:rPr&gt;">
        <w:rPr/>
        <w:t xml:space="preserve">inconstitucionalidad fundada en una misma argumentación, estimó el amparo por vulneración del art. 28.1 en conexión con el 18.4 C.E. Dado que los razonamientos jurídicos entonces vertidos son plenamente aplicables a este caso, no cabe sino tenerlos ahora</w:t>
      </w:r>
    </w:p>
    <w:p w:rsidRPr="00C21FFE" w:rsidR="00F31FAF" w:rsidRDefault="00356547">
      <w:pPr>
        <w:rPr/>
      </w:pPr>
      <w:r w:rsidRPr="&lt;w:rPr xmlns:w=&quot;http://schemas.openxmlformats.org/wordprocessingml/2006/main&quot;&gt;&lt;w:lang w:val=&quot;es-ES_tradnl&quot; /&gt;&lt;/w:rPr&gt;">
        <w:rPr/>
        <w:t xml:space="preserve">por reproducidos y, por ende,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de la Cruz Hidalgo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libertad sindical, reconocido en el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7 de julio de 1995, recaída en el recurso de suplicación núm. 2.774/95.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