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8300-2007, 9744-2007, 9745- 2007, 2-2008, 716-2008, 1124-2008 y 1879-2008, planteadas por el Juzgado de lo Penal núm. 12 de Valencia, respecto al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octubre de 2007 tiene entrada en el Registro General de este Tribunal, con el núm. 8300-2007, un escrito del Juzgado de lo Penal núm. 12 de Valencia al que se acompaña, junto al testimonio del correspondiente procedimiento (procedimiento abreviado 190-2007), el Auto del referido Juzgado de 18 de septiembre de 2007 en el que se acuerda plantear cuestión de inconstitucionalidad respecto al art. 153.1 del Código penal por su posible contradicción con los arts. 1.1, 9.3, 10, 14, 24 y 25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9744-2007, Auto de 29 de noviembre de 2007 (procedimiento abreviado 446-2007); 9745-2007, Auto de 24 de noviembre de 2007 (procedimiento abreviado 13-2007); 2-2008, Auto de 20 de noviembre de 2007 (procedimiento abreviado 390-2007); 716-2008, Auto de 15 de enero de 2008 (procedimiento abreviado 476-2007); 1124-2008, Auto de 13 de diciembre de 2007 (procedimiento abreviado 339-2007) y 1879-2208, Auto de 25 de febrero de 2008 (procedimiento abreviado 583-2007).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 los arts. 1.1, 9.3, 10, 14, 24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Auto de planteamiento, en primer lugar, que el art. 153.1 CP podría ser contrario al principio de igualdad proclamado en el art. 14 CE. Alega para ello que la diferencia de pena que impone la nueva medida penal en relación con el sexo de los sujetos activo y pasivo no puede justificarse como una “acción positiva”, pues “cuando se trata de la tutela penal y procesal, en la medida en que se tutela derechos fundamentales, no cabe apreciar como punto de partida esa desigualdad”. Se trata por ello de una “discriminación negativa” para el hombre, al que se le sanciona más gravemente por los mismos comportamientos por su sexo “y no por la mayor gravedad del injusto”. Si la agravación obedece “a que estadísticamente es la mujer el sujeto pasivo de comportamientos de esta clase y que normalmente proceden del hombre, entonces se agravaría la responsabilidad en el caso concreto por hechos ajenos, con vulneración del principio de culpabilidad”; si la agravación “se fundamentase en … el ánimo de discriminación del hombre sobre la mujer” se partiría de una presunción prohibida contra reo; si “la agravación se fundamentara en la peligrosidad del autor” volveríamos a estar ante una presunción legal y ante una vulneración del principio de responsabilidad por el hecho. </w:t>
      </w:r>
    </w:p>
    <w:p w:rsidRPr="00C21FFE" w:rsidR="00F31FAF" w:rsidRDefault="00356547">
      <w:pPr>
        <w:rPr/>
      </w:pPr>
      <w:r w:rsidRPr="&lt;w:rPr xmlns:w=&quot;http://schemas.openxmlformats.org/wordprocessingml/2006/main&quot;&gt;&lt;w:lang w:val=&quot;es-ES_tradnl&quot; /&gt;&lt;/w:rPr&gt;">
        <w:rPr/>
        <w:t xml:space="preserve">La segunda duda básica del Juzgado en relación con la constitucionalidad del art. 153.1 CP se refiere al principio de proporcionalidad, que se vería quebrado con una punición de “prisión de tres meses a un año” por lo que en realidad constituiría una mera falta de lesiones, y ello “en aras a la cualidad del sujeto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12 de Valencia,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de personación en los distintos procedimientos y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desestimación de todas las cuestiones. </w:t>
      </w:r>
    </w:p>
    <w:p w:rsidRPr="00C21FFE" w:rsidR="00F31FAF" w:rsidRDefault="00356547">
      <w:pPr>
        <w:rPr/>
      </w:pPr>
      <w:r w:rsidRPr="&lt;w:rPr xmlns:w=&quot;http://schemas.openxmlformats.org/wordprocessingml/2006/main&quot;&gt;&lt;w:lang w:val=&quot;es-ES_tradnl&quot; /&gt;&lt;/w:rPr&gt;">
        <w:rPr/>
        <w:t xml:space="preserve">En relación con el cuestionamiento del art. 153.1 CP desde el art. 14 CE entiende que, “aunque el precepto se inspira esencialmente en la protección de la mujer en el ámbito del matrimonio o relación afín, no es reconducible al esquema simplista que propone el Auto, colocando en exclusividad a los sexos en el lado activo o en el pasivo del delito. Sólo la fragmentación —en definitiva mutilación— del texto puede llevar a tal consecuencia”. Así, el precepto incluye también como sujeto pasivo a las personas especialmente vulnerables, que pueden serlo de cualquier sexo, sin que la persona que comete esta agresión contra el vulnerable pueda tampoco identificarse por el sexo. “Acaso no sea difícil comprender también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Considera el Abogado del Estado, en segundo lugar, que el art. 153.1 CP “ni prescinde de la culpa, ni permite presumirla en modo alguno” y que “lo que el Juzgado proponente estima como materia de presunción no es sino la valoración del legislador” a la hora de diseñar el tipo penal. El legislador considera que “la violencia doméstica ejercida sobre las mujeres — … también sobre otras personas especialmente vulnerables— es manifestación de una actitud discriminatoria … A partir de esa valoración construye los tipos penales, pero sin exigir como elemento del tipo la actuación discriminatoria misma”. En relación con esta misma duda atinente al principio de culpabilidad, replica el Abogado del Estado en la parte inicial de su escrito la crítica del Auto de planteamiento en torno a las posibles alternativas de fundamentación del precepto, subrayando que “cualquier aumento del grado de aflicción de una pena prevista para un delito … merecería el mismo reproche”, relativo a que se hace recaer sobre los nuevos delincuentes las culpas de los anteriores, pues los incrementos de pena tienen su causa “en la percepción de la sociedad y del legislador de que determinados delitos revelan una mayor generalización y consiguientemente un mayor riesgo para los ciudadanos”. </w:t>
      </w:r>
    </w:p>
    <w:p w:rsidRPr="00C21FFE" w:rsidR="00F31FAF" w:rsidRDefault="00356547">
      <w:pPr>
        <w:rPr/>
      </w:pPr>
      <w:r w:rsidRPr="&lt;w:rPr xmlns:w=&quot;http://schemas.openxmlformats.org/wordprocessingml/2006/main&quot;&gt;&lt;w:lang w:val=&quot;es-ES_tradnl&quot; /&gt;&lt;/w:rPr&gt;">
        <w:rPr/>
        <w:t xml:space="preserve">La lesión del principio de proporcionalidad se sustenta en una diferenciación “entre delitos y faltas distinta de la propia del legislador, bien basada en criterios extrajurídicos, bien basada en criterios históricos de lo que el legislador estableció en otro tiempo y circunstancias”. En todo caso, “no sabríamos hacer sugerencias sobre la existencia y eventual empleo de medidas menos gravosas que las previstas en la ley penal para alcanzar el mismo resultado de prevención de estos delitos”.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ordenamiento constitucional. Para la argumentación de esta conclusión se remite a lo ya alegado en la cuestión de inconstitucionalidad 5939-2005, del Juzgado de lo Penal núm. 4 de Murcia. Un resumen de tales alegaciones se incluye en el fundamento jurídico 5 de la STC 59/2008, de 14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puedan alegar lo que estimen conveniente en torno a la acumulación a la cuestión de inconstitucionalidad 8300–2007 las seguidas con los números 9744-2007, 9745-2007, 2- 2008, 716-2008, 1124-2008 y 1879-2008. Tanto Abogado del Estado como el Fiscal General del Estado interesan la acumulación, que se acuerda mediante Auto de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22 de julio de 2008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treinta y dos Autos de cuestionamiento, el Juzgado de lo Penal núm. 12 de Valencia considera que el art. 153.1 del Código penal (CP), en su vigente redacción, dada por el art. 37 de la Ley Orgánica 1/2004, de medidas de protección integral contra la violencia de género, puede ser contrario a los principios de igualdad, de culpabilidad y de proporcionalidad, citando de un modo indiferenciado la posible infracción de los arts. 1.1, 9.3, 10, 14, 24 y 25 CE. El Abogado del Estado y el Fiscal General del Estado niegan estas vulneraciones e interesan la desestimación íntegra de las cuestiones.</w:t>
      </w:r>
    </w:p>
    <w:p w:rsidRPr="00C21FFE" w:rsidR="00F31FAF" w:rsidRDefault="00356547">
      <w:pPr>
        <w:rPr/>
      </w:pPr>
      <w:r w:rsidRPr="&lt;w:rPr xmlns:w=&quot;http://schemas.openxmlformats.org/wordprocessingml/2006/main&quot;&gt;&lt;w:lang w:val=&quot;es-ES_tradnl&quot; /&gt;&lt;/w:rPr&gt;">
        <w:rPr/>
        <w:t xml:space="preserve">Las dos primeras dudas de constitucionalidad —si estamos ante un tratamiento punitivo diferente de la misma conducta en función del sexo de los sujetos activo y pasivo, que sería por ello contrario al art. 14 CE, y si el precepto cuestionado se opone al principio de culpabilidad—tienen ya respuesta en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art. 153.1 CP desde la perspectiva del art. 14 CE debe ser el propio del principio general de igualdad y no el correspondiente a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La diferenciación es razonable, en primer lugar, porque es funcional para una finalidad legítima, “la protección de la vida, la integridad física, la salud, la libertad y la seguridad de las mujeres, que el legislador entiende como insuficientemente protegidos en el ámbito de las relaciones de pareja”, y “la lucha contra la desigualdad de la mujer en dicho ámbito, que es una lacra que se imbrica con dicha lesividad” (STC 59/2008, FJ 8). Y es funcional porque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(FJ 9.a).</w:t>
      </w:r>
    </w:p>
    <w:p w:rsidRPr="00C21FFE" w:rsidR="00F31FAF" w:rsidRDefault="00356547">
      <w:pPr>
        <w:rPr/>
      </w:pPr>
      <w:r w:rsidRPr="&lt;w:rPr xmlns:w=&quot;http://schemas.openxmlformats.org/wordprocessingml/2006/main&quot;&gt;&lt;w:lang w:val=&quot;es-ES_tradnl&quot; /&gt;&lt;/w:rPr&gt;">
        <w:rPr/>
        <w:t xml:space="preserve">b) A la vista de su poca entidad —tres meses de privación de libertad en el límite inferior de la pena y una pena potestativa de inhabilitación que en el art. 153.1 CP es superior en dos años en su límite máximo, pero inferior en seis meses en su límite mínimo—, tampoco cabe apreciar que la diferencia de penas de las normas comparadas entrañe una desproporción que conduzca por esta vía a la inconstitucionalidad ex principio de igualdad del artículo cuestionado, máxime si se repara en que esta pena de prisión diferenciada en su límite mínimo es alternativa a la pena de trabajos en beneficio de la comunidad, igual en ambos tipos;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 y en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segunda duda, atinente al principio de culpabilidad, procede recordar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(STC 59/2008, FJ 11).</w:t>
      </w:r>
    </w:p>
    <w:p w:rsidRPr="00C21FFE" w:rsidR="00F31FAF" w:rsidRDefault="00356547">
      <w:pPr>
        <w:rPr/>
      </w:pPr>
      <w:r w:rsidRPr="&lt;w:rPr xmlns:w=&quot;http://schemas.openxmlformats.org/wordprocessingml/2006/main&quot;&gt;&lt;w:lang w:val=&quot;es-ES_tradnl&quot; /&gt;&lt;/w:rPr&gt;">
        <w:rPr/>
        <w:t xml:space="preserve">Tampoco se constata, por otra parte, sanción por hechos de otros. Ni tal cosa se deriva sin más de que se aumenten las penas por la frecuencia de un determinado comportamiento lesivo, ni, en cualquier caso, como se acaba de reseñar, constituye la consideración estadística en sí la justificación única o esencial de impulso de la reforma. Por lo demás,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(STC 59/2008,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duda de constitucionalidad, que enfrenta el precepto cuestionado al principio de proporcionalidad en cuanto que sancionaría una falta con una pena de prisión tres meses a un año, debe ser rechazada ya por razones formales, pues ni la pena que le sirve de pauta para la desproporción alegada se corresponde con ninguna de las del precepto cuestionado (art. 153.1 CP), ni la conducta típica se cataloga como falta, sino, mediante su ubicación en el libro II del Código penal, inequívocamente como delito.</w:t>
      </w:r>
    </w:p>
    <w:p w:rsidRPr="00C21FFE" w:rsidR="00F31FAF" w:rsidRDefault="00356547">
      <w:pPr>
        <w:rPr/>
      </w:pPr>
      <w:r w:rsidRPr="&lt;w:rPr xmlns:w=&quot;http://schemas.openxmlformats.org/wordprocessingml/2006/main&quot;&gt;&lt;w:lang w:val=&quot;es-ES_tradnl&quot; /&gt;&lt;/w:rPr&gt;">
        <w:rPr/>
        <w:t xml:space="preserve">Tampoco puede prosperar la duda si se refiere a la pena de prisión de seis meses a un año por una conducta que el Juzgado cuestionante considera de un desvalor propio de falta y no de delito. Una duda similar se planteó ya con el antiguo delito de malos tratos no habituales en el ámbito doméstico (art. 153 CP en la redacción dada al mismo por la Ley Orgánica 11/2003) y fue inadmitida por los AATC 233/2004, de 7 de junio, y 332/2005, de 13 de septiembre. Y aunque es cierto que la pena alternativa de prisión de la norma ahora cuestionada tiene un límite mínimo superior al de aquélla (seis meses en lugar de tres), también lo es que puede reducirse en un grado, lo que comportaría una pena de prisión con un mínimo de tres meses (art.  153.4 CP) y una pena de trabajos de beneficio de la comunidad inferior a la del anterior art.  153.1 CP, y que su pena potestativa de inhabilitación especial para el ejercicio de la patria potestad, tutela, curatela, guarda o acogimiento es diferente, mayor en su máximo y menor en su mínimo (hasta cinco años en lugar del tramo de seis meses a tres años).</w:t>
      </w:r>
    </w:p>
    <w:p w:rsidRPr="00C21FFE" w:rsidR="00F31FAF" w:rsidRDefault="00356547">
      <w:pPr>
        <w:rPr/>
      </w:pPr>
      <w:r w:rsidRPr="&lt;w:rPr xmlns:w=&quot;http://schemas.openxmlformats.org/wordprocessingml/2006/main&quot;&gt;&lt;w:lang w:val=&quot;es-ES_tradnl&quot; /&gt;&lt;/w:rPr&gt;">
        <w:rPr/>
        <w:t xml:space="preserve">Estas diferencias punitivas entre el antiguo art. 153 CP y el vigente art. 153.1 CP son así pocas, limitadas y de sentido diverso, y no modifican el resultado del juicio constitucional de falta de desproporción emitido en los reseñados AATC 233/2004 y 332/2005, máxime cuando no se aporta argumento alguno para sustentar la supuesta desproporción ni se especifica siquiera cuál de los análisis de proporcionalidad es el que depararía la inconstitucionalidad de la norma. Procede recordar al respecto las potestades exclusivas del legislador para determinar normativamente qué conductas se penan y con qué pena, y los severos límites que demarcan el control de este Tribunal al respecto. Así, el juicio de proporcionalidad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Sólo cabe afirmar la falta de proporcionalidad de una reacción penal cuando la norma no persiga “la preservación de bienes o intereses que no estén constitucionalmente proscritos ni sean socialmente irrelevantes”; cuando la pena no sea “instrumentalmente apta para dicha persecución”; o cuando sea innecesaria o, en sentido estricto, desproporcionada.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139/1999,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La falta de argumentos del Auto de cuestionamiento, de una parte, y, de otra, la limitada cuantía de la pena, sus posibilidades de adaptación a la gravedad del hecho y las importantes finalidades de la norma —la protección de la libertad y la seguridad de las mujeres en el ámbito de las relaciones de pareja y la lucha contra la desigualdad de la mujer en el mismo (supra FJ 3.a)— nos llevan a negar, en línea con lo resuelto por los AATC 233/2004, de 7 de junio, y 332/2005, de 13 de septiembre, la desproporción constitucional invocada, y a despejar en este sentido la última de las dudas de constitucionalidad del Juzgado de lo Penal núm. 12 de Valencia.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8300-2007, 9744-2007, 9745-2007, 2-2008, 716-2008, 1124-2008 y 1879-2008.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24 de julio de 2008, dictada en las cuestiones de inconstitucionalidad acumuladas núms. 8300-2007, 9744-2007, 9745-2007, 2-2008, 716-2008, 1124-2008 y 1879-2008, planteadas por el Juzgado de lo Penal núm. 12 de Valencia, respecto al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ocho.Voto particular que formula el Magistrado don Javier Delgado Barrio respecto de la Sentencia de 24 de julio de 2008, dictada en las cuestiones de inconstitucionalidad núms. 8300-2007, 9744-2007, 9745-2007, 2-2008, 716-2008, 1124-2008 y 1879-2008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ocho.Voto particular que formula el Magistrado don Jorge Rodríguez-Zapata Pérez a la Sentencia del Pleno que resuelve las cuestiones de inconstitucionalidad núms. 8300-2007, 9744-2007, 9745-2007, 2-2008, 716-2008, 1124-2008 y 1879-2008,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ocho.Voto particular que formula el Magistrado don Ramón Rodríguez Arribas, respecto a la Sentencia del Pleno de fecha 23 de julio de 2008 dictada en la cuestión de inconstitucionalidad núm. 8300-2007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12 de Valencia,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8300-2007 y acumulados,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