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98</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marzo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459-1982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459/1982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Sala acuerda acceder a la suspensión solicitada, lo que deberá comunicarse urgentemente a las autoridades responsables de la ejecución.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de 9 de septiembre de 1982, el Consejo de Guerra de Oficiales Generales constituido al efecto dictó Sentencia condenando a don Manuel Ruiz Mateos, como autor del delito de negligencia en el cumplimiento de sus deberes militares previsto y penado en el art. 391.2 del Código de Justicia Militar.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dicha Sentencia interpuso demanda de amparo, por presunta vulneración de los arts. 24.1 y 25.1 de la Constitución Española (C.E.), demanda que fue admitida a trámite. Se acordó además, según lo solicitado en ella, la formación de pieza separada de suspensión y otorgar un plazo de tres días al Ministerio Fiscal y al recurrente para formular alegaciones en dicha pieza.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de 24 de febrero de 1983, el Fiscal, entendiendo que de la ejecución de la resolución impugnada podría derivarse al recurrente un perjuicio irreparable, informó favorablemente la solicitud de suspensión, sin que, por parte del actor se formulara alegación alguna.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Dada la brevedad de la pena impuesta en la Sentencia impugnada, la ejecución de la misma podría hacer perder al amparo su finalidad, y teniendo en cuenta que con la suspensión ni padecen los intereses generales ni se perturban derechos de terceros, es evidente que concurren los requisitos exigidos en el núm. 1 del art. 56 de la Ley Orgánica del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Sala acuerda acceder a la suspensión solicitada, lo que deberá comunicarse urgentemente a las autoridades responsables de la ejecución.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marzo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