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desestima el recurso de súplica interpuesto contra la providencia de 20 de diciembre próximo pasado.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proceso constitucional seguido respecto del Real Decreto-ley 2/1983, de 23 de febrero, sobre expropiación, por razones de utilidad pública e interés social, de los Bancos y otras Sociedades que componen el grupo Rumasa, S. A., decidido por Sentencia de fecha 2 de diciembre de 1983, presentó don José María Ruiz Gallardón, comisionado de los recurrentes, escrito solicitando que se tuviera por planteada recusación. A este escrito recayó providencia de fecha 20 de diciembre último, por la que se acordó por el Pleno no haber lugar a admitir a trámite el escrito de fecha 9 de diciembre, porque el mismo no aparece formulado en tiempo y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providencia, el comisionado, señor Ruiz Gallardón, interpuso recurso de súplica, alegando como motivos de impugnación los siguientes: a) infracción del art. 86.1 de la Ley Orgánica del Tribunal Constitucional (LOTC), porque la decisión debió adoptar la forma de Auto; b) indebido rechazo del escrito de recusacion, porque fue planteado en tiempo, y c) indebido rechazo de la recusación porque estaba bien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recurso de súplica se dio traslado al Abogado del Estado, que se opuso al mismo argumentando: a) que no se ha infringido el art. 86.1 de la LOTC, porque este precepto no impone la forma de Auto para las decisiones como la impugnada; por otra parte, aun no existiendo laguna legal que deba llenarse acudiendo a la Ley de Enjuiciamiento Civil (L.E.C.), ha de advertirse que en esta Ley no se infiere la necesidad de que la inadmisión de un incidente de recusación se haga por Auto; b) la recusación se ha formulado fuera de tiempo según lo dispuesto en el art. 193 de la L.E.C.; c) la petición de recusación adolecía del defecto formal básico de no identificar al recusado, ni alegar causa legal de recusación; el escrito no planteaba realmente una recusación, ni podía el Tribunal acceder a reconocer en este escrito virtualidad suficiente para admitir un incidente de recusación; y tampoco fundaba indicado escrito en causa de recusación en algunos de los supuestos legales estricta y exhaustivamente tipificados en la L. E. 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Es inadmisible, como contrario a todo el régimen de la recusación, y a la razón y la finalidad de esta institución procesal, que mediante un escrito presentado después del señalamiento para Sentencia, y aun después de votada y redactada ésta, y pendiente de notificación, en el que, además, no hay una concreción de causa alguna de recusación, subsumible en alguno de los supuestos definidos en la Ley, pueda ser abierto un incidente de recusación, pues si la recusación es un instrumento procesal ideado para evitar que un proceso sea fallado por Jueces en los que concurra algún supuesto que el precepto legal conceptúa como de posible quiebra de la imparcialidad, tendrá que apoyarse en la concurrencia de alguno de aquellos supuestos y plantearse en tiempo, según lo que disponen, en lo aplicable a la justicia constitucional, y por remisión del art. 80 de la LOTC, los arts. 189 y 193 de la L. E. C.  La extemporaneidad de la recusación y la alegación de unos hechos que no son de los previstos en la causa de recusación del artículo 189.3, hace rechazable a limine el escrito de recusación.  Para que la recusación pueda ser decidida y abra a tal efecto incidente, la petición de la parte, además de proponerse en tiempo, conforme al art.  193, y ajustarse a los requisitos formales previstos, entre otros, en el art.  192, debe concretar causa de recusación de las previstas legalmente.  Como ni la recusación se formuló en tiempo ni la solicitud se fundaba en hechos concretos que pudieran subsumirse en causa de recusación, la decisión adoptada en la providencia recurrida, esto es, la decisión de inadmisión por extemporaneidad y por falta de requisitos formales, debe mantenerse.  Estas fueron las razones que entonces implícitas y ahora más in extenso constituyen el fundamento, tanto de la providencia impugnada como del presente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desestima el recurso de súplica interpuesto contra la providencia de 20 de diciembre próximo pasado.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