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585/1985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ello, el Pleno acuerda mantener la suspensión de la Orden de 29 de marzo de 1985 de la Consejería de Educación y Ciencia de la Junta de Andalucía.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25 de junio de 1985, el Abogado del Estado, en representación del Gobierno de la Nación, formaliza conflicto positivo de competencia frente a la Orden de 29 de marzo del mismo año, de la Consejería de Educación y Ciencia de la Junta de Andalucía, por la que se dictan normas para proveer las plazas asignadas por dicha Comunidad Autónoma por el sistema de ingreso directo entre graduados procedentes de la undécima promoción del Plan Experimental de 1971, en las Escuelas Universitarias de Formación del Profesorado de Educación General Básica de Andalucía, haciendo invocación del art. 161.2 de la Constitución a efectos de la suspensión de la disposición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julio de 1985 de la Sección Primera de este Tribunal se tiene por planteado el conflicto y se da traslado de la demanda a la Junta de Andalucía, teniéndose por producida la suspensión de la vigencia y aplicación de la Orden referida.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6 de noviembre de 1985, la Sección acuerda que, próximo a finalizar el plazo de los cinco meses señalado por el art. 65.2 de la Ley Orgánica del Tribunal Constitucional (LOTC), se oiga a las partes para que, en el plazo común de cinco días, expongan lo que estimen procedente acerca del levantamiento o mantenimiento de la suspensión de la Orden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 dicho plazo, el Abogado del Estado manifiesta que debe mantenerse la suspensión de la Orden en cuestión, que precisamente fue objeto de conflicto positivo de competencia sin previo requerimiento para obtener la inmediata suspensión, dada la gravedad de la misma al producir, por una parte, desigualdades acusadísimas en todo el territorio nacional y, por otra, situaciones consolidadas en favor de terceros beneficiados, de difícil revocación posterior.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representante de la Junta de Andalucía manifiesta que el mantenimiento de la suspensión produciría un deterioro serio de la seguridad jurídica de los afectados, Profesores de Educación General Básica, en situación de desamparo tras haber adquirido unas legítimas expectativas. Además, estima que debe otorgarse preferencia a la protección de la confianza del ciudadano en la legitimidad de los actos jurídicos emanados de las autoridades públicas, sobre la salvaguardia de otros posibles perjuicios cuya justificación aparece poco clara. Por lo que suplica se levante la suspensión de la Orden objeto del conflicto.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Examinadas las circunstancias que concurren en el presente caso, este Tribunal considera que procede la ratificación de la suspensión, atendiendo a razones de orden público, como la posible creación de situaciones de grave desigualdad en el sistema de acceso directo en el Cuerpo de Profesores de E.G.B., así como los perjuicios que podrían derivarse de la creación de situaciones en favor de terceros beneficiados, las cuales podrían verse revocadas en el caso de que se estimare el conflicto, con los consiguientes trastornos, tanto personales como relativos al servicio.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ello, el Pleno acuerda mantener la suspensión de la Orden de 29 de marzo de 1985 de la Consejería de Educación y Ciencia de la Junta de Andalucía.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