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José Rodríguez Tejeiro, en nombre y representación de don Antonio Galán Galán, en virtud del correspondiente nombramiento por el turno de oficio, presenta demanda de amparo con fecha 21 de julio de 1987, frente a la Sentencia de la Magistratura de Trabajo núm. 3 de Córdoba, de 23 de marzo de 1987, dictada en autos sobre reclamación salarial. Invoca los arts. 14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apoya en los siguientes antecedentes: a) Con fecha 20 de noviembre de 1978 fue dictada Sentencia por Magistratura de Trabajo de Córdoba en la que se condenaba al empresario don Miguel López Rodríguez al pago de 75.666 pesetas al actual demandante de amparo, en concepto de salarios. Una vez instada la ejecución de esa resolución judicial, la empresa fue declarada en insolvencia por Auto de 7 de octubre de 1982; por lo que el actor, con fecha 15 de julio de 1987, solicitó del Fondo de Garantía Salarial (FGS) el pago de aquellos salarios. b) La solicitud fue denegada por resolución de 15 de noviembre de 1985, por haber transcurrido más de un año desde la declaración de insolvencia hasta la petición de pago, en aplicación del plazo de prescripción dispuesto con carácter general en el artículo 59.2 del Estatuto de los Trabajadores (ET). Contra esta decisión administrativa interpuso el actor recurso de alzada, denegado por silencio administrativo. Posteriormente, y una vez que los Autos de 16 de octubre y de 4 de diciembre, de la Sala de Conflictos de Competencia del Tribunal Supremo, declararan la competencia de la jurisdicción laboral para entender de estos asuntos, el actor presentó reclamación previa ante el FGS, y, tras su denegación por silencio, demanda ante Magistratura de Trabajo. c) En su demanda, el actor sostenía que su acción no había prescrito, puesto que, al no tratarse de una reclamación laboral, no podría ser de aplicación el art. 59.2 del ET; y, al haber sucedido el hecho causante (la insolvencia empresarial) antes de la reforma del ET de 1984 (Ley 32/1984), no podría ser de aplicación lo dispuesto en el art. 33.7 de esa misma Ley; precepto en el que ya se establecía un plazo de prescripción expreso para la solicitud de prestaciones ante el FGS. No obstante, la Sentencia de Magistratura de Trabajo de Córdoba de 23 de marzo de 1987 entendió que era aplicable en aquel momento el plazo de prescripción recogido en el art. 59.2 del ET, puesto que la petición tenía carácter laboral y no había otro plazo de prescripción específico en el momento del hecho causante.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resolución judicial, que no es recurrible en vía jurisdiccional laboral, se interpone ahora recurso de amparo, por presunta vulneración de los arts. 14 y 24 de la Constitución. Solicita el demandante la anulación de esa Sentencia y el reconocimiento de su derecho a percibir del FGS la cantidad de 75.666 pesetas, en concepto de salarios no abonados por insolvencia de la empresa. A juicio del demandante, la resolución judicial impugnada habría lesionado el derecho a la tutela judicial efectiva, porque no podría calificarse como resolución judicial fundada aquella que aplica un precepto que, manifiesta y flagrantemente, es inaplicable. Así habría ocurrido con la aplicación del art. 59.2 del ET, que no podria ser aplicado a una reclamación que no tiene carácter laboral y que no surge de relación laboral alguna. Reconoce el demandante que el art. 24 de la C.E. no permite revisar la legislación ordinaria; pero, al mismo tiempo, entiende que da pie para declarar no aplicables aquellos preceptos que manifiestamente lo sean. y, en este caso, el plazo de prescripción aplicable podría ser el de cinco años en todo caso (como dijo la Sentencia del TS, Sala Sexta, de 13 de junio de 1986, por aplicación del art. 46 de la Ley General Presupuestaria), pero nunca el de un año establecido en el art. 59.2 del ET. Considera el demandante, asimismo, que la resolución judicial, impugnada ha lesionado el principio de igualdad en la aplicación de la ley consagrado en el art. 14 de la Constitución, desde el momento en que el FGS vendría aplicando hasta 1984 un plazo de prescripción de cinco años, sustituido ahora por el de un año. La lesión del principio de igualdad sería mas clara aún si se tiene en cuenta que el TS ha defendido la aplicación de un plazo de cinco años (Sentencia de 13 de junio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mayo de 1987, la Sección Cuarta de este Tribunal Constitucional acuerda librar despacho para la designación de Procurador de oficio que represente al recurrente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3 de junio de 1987, la misma Sección acuerda tener por hecha la designación en turno de oficio en la representación del recurrente a la Procuradora señora Rodríguez Tejeiro, teniéndose igualmente por designado para la defensa del mismo al Letrado don José Miguel Martínez Gonzalo. Asimismo, se concede un plazo de veinte días para que formalicen la correspondiente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de 23 de septiembre de 1987, la Sección Cuarta acuerda conceder un plazo común de diez días al Ministerio Fiscal y al solicitante del amparo, para que dentro de dicho término aleguen lo que estimen pertinente respecto del motivo de inadmisión de carecer la demanda manifiestamente de contenido que justifique una decisión por parte de este Tribunal Constitucional, conforme previene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en escrito de 9 de octubre de 1987, solicita la inadmisión del recurso y al efecto dice que los alegatos de la demanda en el sentido de que no es de aplicación el art. 59.2 del E.T, para estimar prescrita la acción ejercitada, bien porque dicha acción no tiene naturaleza laboral, o porque seria efectuar una aplicación retroactiva de la Ley, son fundadamente rebatidos por la Sentencia impugnada, con argumentos razonables que por economía evita repetir pero que, por si mismos, excluyen las vulneraciones constitucionales alegadas. La resolución es motivada en Derecho y aplica la ausencia de desigualdad por razón de la legislación que aplica.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por diligencia, se hace constar que, tras haber transcurrido con exceso el plazo concedido para alegaciones en la providencia de 23 de septiembre de 1987, no se ha recibido escrito alguno de la Procuradora señora Rodríguez Tejeiro.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Entiende el demandante de amparo que la resolución judicial impugnada lesiona, por un lado, el art. 24.1 de la C.E., por aplicar a su demanda un precepto legal que, a su juicio, seria claramente inaplicable; y, por otro, el art. 14 de la Constitución, toda vez que la resolución denegatoria del FGS se habría apartado de lo dispuesto por ese mismo órgano administrativo para otros supuestos semejantes. Las alegaciones del demandante no ofrecen, sin embargo, suficiente contenido constitucional.  Es fácil advertir, en efecto, que ninguno de esos preceptos ha sido lesionado por la resolución judicial que ahora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sabe, y como parece aceptar en principio el propio demandante, el derecho a la tutela judicial efectiva garantiza la obtención de una resolución judicial jurídicamente fundada y suficientemente motivada; pero en ningún caso podría dar pie para que este Tribunal pudiera revisar el razonamiento, los fundamentos jurídicos o los preceptos de la legalidad ordinaria aplicados por el Juez, salvo el acceso a los Tribunales o a los recursos establecidos por la ley, o se lesionara algún derecho fundamental.  Fuera de estos casos, por tanto, la decisión sobre la normativa aplicable queda en manos del Juez correspondiente.  Ciertamente, y llevando el razonamiento a sus extremos, podría pensarse que la aplicación de preceptos de la legalidad ordinaria clara y manifiestamente inaplicables impediría dar el calificativo de fundada a la resolución judicial correspondiente, puesto que se trataría más bien de una decisión arbitraria o insuficientemente motivada. Pero no ha ocurrido así en el caso. En efecto, puede ser discutible que el art. 59.2 del ET sea o no aplicable a las demandas dirigidas frente al FGS para el pago de salarios no abonados a causa de insolvencia empresarial, pero, precisamente por el hecho de ser discutible, cualquiera de las soluciones que adopte el Juez resulta en principio jurídicamente aceptable, siempre que muestre a las partes los motivos y el razonamiento que le han llevado a su decisión.  La Sentencia que ahora se impugna reconoce que en la normativa anterior a la Ley 32/1984, de reforma del ET, no había precepto alguno que estableciera un plazo específico de prescripción para la solicitud de prestaciones ante el FGS; reconoce, asimismo, que el art. 59.2 del ET no está pensado expresamente para ese supuesto, puesto que se ocupa, en general, de las acciones que se ejercitan «para exigir percepciones económicas». Pero considera, al mismo tiempo, que la acción ejercitada por el demandante tenía en su origen un claro carácter laboral, puesto que nacía de un contrato de trabajo; y que ese carácter no llega a perderse por el hecho de que, una vez declarada la insolvencia de la empresa, la acción se ejercite frente al FGS, como responsable subsidiario de la misma, sin perjuicio de la naturaleza administrativa de ese organismo.  La decisión de Magistratura de Trabajo ha de calificarse, por tanto, como una resolución jurídicamente fundada, y no pierde ese carácter por el solo hecho de diferir de lo resuelto por el TS en la Sentencia de 13 de junio de 1986, puesto que la divergencia tiene su fundamento en la independencia de criterio de cada Juez.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cabe apreciar lesión alguna del principio de igualdad en la aplicación de la Ley. A juicio del demandante, esa lesión se habría producido al separarse el FGS de resoluciones anteriores, y al desviarse Magistratura de Trabajo respecto a lo resuelto por el Tribunal Supremo.  Respecto a la primera alegación, habría que decir, por lo pronto, que el demandante no ofrece un término de comparación concreto y adecuado para proceder al juicio de igualdad, por lo que su invocación queda vacía de contenido.  Además, hay que tener en cuenta que el demandante no impugna propiamente la resolución administrativa, sino la resolución judicial confirmatoria de la misma, por lo que, a efectos de la igualdad en la aplicación de la ley, habría de ofrecerse un término de comparación frente al criterio judicial, no frente al criterio administrativo ya sancionado por el Juez.  Respecto a la segunda alegación, parece claro que el demandante ha establecido una comparación incorrecta desde la perspectiva del principio de igualdad en la aplicación de la ley.  Como se ha dicho reiteradamente, esa faceta del principio de igualdad solamente puede predicarse entre las resoluciones de un mismo órgano jurisdiccional, puesto que la aplicación igual de la ley ha de cohonestarse siempre con el principio de independencia que, también según la Constitución, debe presidir la actuación del Juez.  No puede efectuarse un juicio de igualdad en la aplicación de la Ley comparando la resolución judicial impugnada con la Sentencia del Tribunal Supremo que se ofrece como término de referencia, término que podría ser válido para un hipotético recurso ante los Tribunales laborales superiores, pero que carece de relevancia para 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