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solicitante de amparo se interpuso la correspondiente demanda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Raúl Ricardo Lameiro Antón fue sancionado administrativamente en virtud de las Resoluciones de fechas 17 de marzo de 1992 y 14 de octubre de dicho año, por la Consellería de Pesca, Marisqueo y Acuicultura de la Xunta de Galicia, en virtud de expediente núm. PO-317/91, iniciado por la denuncia cursada por el Servicio de Vigilancia de la misma consistente en «entorpecer la labor de vigilancia y realizar faenas de arrastre en zona no autorizada a bordo de la embarcación "Volador II", matricula 3 a VI-2-2269, al sureste de Punta Galera (ría de Pontevedra; Longitud 08 55'2; latitud 42 19'4, el día 8 de mayo de 1991, a sus veinte treinta y cinco horas», por el que se calificaron las infracciones cometidas como muy graves con arreglo a la Ley 5/1985, de 11 de junio, y como grave y muy grave, respectivamente, en aplicación de la Ley 6/1991, de 15 de mayo, imponiéndosele la sanción de multa de 1.100.002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Seguido el correspondiente procedimiento contencioso-administrativo ante la Sala correspondiente del Tribunal Superior de Justicia de Galicia -recurso núm. 5.101/92-, por la misma se denegó la solicitud del recurrente relativa al recibimiento del juicio a prueba, impidiéndosele por ello la práctica de pruebas que pudieran acreditar su inocencia respecto a las imputaciones contra él mismo efectuadas en virtud de la denuncia cursada por el mentado Servicio de Vigilancia de la citada Consellería de Pesca.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diciembre de 1995, se acordó formar pieza separada de suspensión con el precedente testimonio, así como y a tenor de lo dispuesto en el art. 56 de la LOTC, conceder un plazo de tres días al Ministerio Fiscal, y al solicitante de amparo, para que formularan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se opuso a la suspensión solicitada fundamentalmente en base al carácter de las propias decisiones administrativas confirmadas judicialmente, cuando su contenido, como ocurre en el presente caso, es estrictamente económico, no apreciándose a primera vista, que la propia cuantía de las sanciones impuestas, sean de tal entidad que aconsejen la suspensión, máxime cuando el solicitante de amparo no aporta elementos de prueba acreditativos de las circunstancias que deban llevar aparejada la suspensión de la ejecución de la mencionada sanción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solicitante de amparo se reiteró en las manifestaciones contenidas en su demanda de amparo, mostrándose favorable a la suspensión de dichas sanciones administrativas, en virtud tanto de que de la misma no se sigue perturbación grave a los intereses generales o a los derechos fundamentales o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integra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posible restitución a su estado anterior (tales como las condenas penales privativas de libertad, o de privación, o limitación de ciertos derechos), en los que es procedente la suspensión de la ejecución de la resolución judicial (AATC 573/1985, 574/1985,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resolución cuya ejecución se pretende suspender tiene un contenido exclusivamente económico, por lo que, de conformidad con la doctrina antes expuesta, ha de entenderse que su restitución, en el caso de la eventual estimación del recurso de amparo formulado, no resulta imposible; y ello determina la procedencia de denegar la suspensión solicitada, conforme interesa el Ministerio Fiscal, con independencia de cuál sea el resultado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