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3029-1996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3.029/1996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petición de modificación de la suspensión acordada en el presente proceso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Auto de fecha 7 de abril de 1997, esta Sala acordó la suspensión de la resolución impugnada en el presente recurso de amparo en lo concerniente, exclusivamente, al bien inmueble adjudicado.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otrosí, formulado al evacuar el trámite de alegaciones previsto en el art. 52 LOTC don Antonio Cenea Bemedo y «Sogacal, S.G.R.», que son parte en el proceso de amparo, solicitan la revocación del Auto que acuerda la suspensión de la resolución impugnada, o que, subsidiariamente, se condicione la misma a la constitución de fianza suficiente. Tal petición se fundamenta en que la resolución fue dictada antes de constituirse en parte en el proceso y a la vista de los perjuicios irreparables que les causa tal resolución. Se fundamenta también la petición en que paralelamente a la presentación de la demanda de amparo los recurrentes solicitaron ante el Juzgado la nulidad de actuaciones, hecho éste que ocultaron en su demanda, la cual ha sido desestimada por Auto de 14 de octubre de 1996 y ratificada en apelación por Auto de 19 de febrero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(Sala Segunda), mediante providencia de fecha 23 de junio de 1997, acordó conceder un plazo de tres días al resto de las partes personadas y al Ministerio Fiscal para que alegaran lo que estimasen oportuno sobre lo interesado por otrosí por las partes reseñadas.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sendos escritos de fecha 27 y 30 de junio y 4 de julio de 1997, los recurrentes en amparo, «Sogacal, S.G.R.», y el Ministerio Fiscal han presentado sus alegaciones en este incidente de modificación de la suspensión acordada, reiterando aquéllos que no se aportan razones justificativas para dejar sin efecto la suspensión acordada, ya que las razones aducidas tienen que ver con la pretensión de amparo y su admisibilidad y no con la suspensión acordada. «Sogacal, S.G.R.», manifiesta su conformidad con la revocación del Auto de suspensión. El Ministerio Fiscal señala que no es motivo de revocación el hecho de no haber sido oídas en su momento las partes que hoy solicitan la modificación de la suspensión, ya que la suspensión se acordó con anterioridad a su personación en este proceso de amparo. Y en cuanto a las razones justificativas relativas a la existencia de un proceso paralelo en vía judicial en el que se solicitó la nulidad de las actuaciones, alegando indefensión, señala que son argumentos que tienen que ver con la resolución de la pretensión de amparo, y, eventualmente, con la existencia de una causa de inadmisibilidad, pero no con las previsiones del art. 57 de la, LOTC, por lo que se opone a la petición de revocación o modificación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otra parte, el art. 57 de la LOTC permite modificar durante el curso del juicio de amparo constitucional, de oficio o a instancia de parte, la suspensión acordada o su denegación, si se acreditan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La cuestión a resolver en este incidente, tal y como ha sido planteada por quienes se han personado en este proceso de amparo una vez admitida a trámite la demanda, se contrae a determinar si las circunstancias por ellos puestas de manifiesto en los escritos reseñados en los antecedentes de esta resolución justifican o no la modificación de la suspensión de la resolución impugnada en amparo que decretamos por Auto de 4 de abril de 1997. Pues bien, las circunstancias sobrevenidas o desconocidas al tiempo de pronunciarse sobre la petición de suspensión que fundamentan la petición de los solicitantes no afectan por sí mismas a la decisión de suspensión, sino a la viabilidad de la propia pretensión de amparo fundada en no haber sido oído el demandante en el proceso ejecutivo anterior. Las razones ahora aducidas no aportan dato alguno sobre la valoración de los intereses en conflicto analizados cuando nos pronunciamos sobre la suspensión o su denegación, por lo que no pueden ser tenidas en cuenta para modificar la resolución en su día dictada.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petición de modificación de la suspensión acordada en el presente proceso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