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solicitud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4 de enero de 2001, el Procurador de los Tribunales don Santiago Tesorero Díaz, en nombre y representación de don Enrique Martínez Santiago, interpuso recurso de amparo contra la Sentencia de la Sala de lo Penal del Tribunal Supremo de 30 de octubre de 2000 y contra la Sentencia de la Sección Tercera de la Sala de lo Penal de la Audiencia Nacional de 26 de octubre de 1999, que le condenó, como autor de un delito contra la salud pública de sustancia que causa grave daño a la salud (art. 344 CP) en cantidad de notoria importancia [art. 344 bis a) núm. 3] por persona perteneciente a organización [art. 344 bis a) núm. 6] y concurriendo extrema gravedad [art. 344 bis b) CP 1973], en concurso con un delito de contrabando en grado de tentativa, imponiéndosele las penas de diecisiete años, cuatro meses y un día de reclusión menor, multa de 225 millones de ptas. y accesoria de inhabilitación absoluta por el tiempo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 los derechos fundamentales al proceso con todas las garantías (art. 24.2 CE), a la defensa y a utilizar los medios de prueba pertinentes (art. 24.2 CE), a la presunción de inocencia (art. 24.2 CE), a la tutela judicial efectiva sin indefensión (art. 24.1 CE), al secreto de las comunicaciones (art. 18.3 CE) y a la legalidad penal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providencia de 20 de marzo de 2001, la Sección Primera de este Tribunal acordó admitir a trámite la demanda de amparo, y a tenor de lo dispuesto en el art. 51 LOTC, requerir a la Sala de lo Penal del Tribunal Supremo, para que en el plazo de diez días remitiera testimonio del recurso de casación núm. 1608/99, interesándose al propio tiempo que por la Sección Tercera de la Sala de lo Penal de la Audiencia Nacional se emplazare a quienes fueron parte en el sumario núm. 15/92, del Juzgado Central de Instrucción núm. 5 (rollo núm. 51/92), con excepción del recurrente de amparo, para que en el plazo de diez días puedan comparecer en este proceso constitucional, con traslado a dichos efectos de copia de la demanda presentada. Asimismo, acordó formar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la misma fecha, y al amparo de lo previsto en el art. 56 LOTC, la Sección Primera acordó conceder plazo común de tres días al Ministerio Fiscal y a los solicitantes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26 de marzo de 2002 la representación del recurrente, evacuando alegaciones, reitera la petición de suspensión y los fundamentos aducidos en la demanda de amparo. En complemento de los mismos alega que, de no acordarse la suspensión, el amparo, en caso de ser otorgado, perdería su objeto, irrogándosele perjuicios irreparables en la medida en que la privación de libertad efectiva se habría cumplido en su mayor parte en el momento en que se estimara el amparo, pues, de conformidad con la liquidación de condena efectuada por el Centro Penitenciario, habría cumplido las tres cuartas partes de la condena en el año 2006. De otra parte, argumenta que la suspensión no ocasionaría conflicto con los intereses generales ni con la eficacia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27 de marzo de 2002, de conformidad con la consolidada doctrina constitucional aplicable y dadas las circunstancias del caso, interesa se deniegue la pretensión de suspensión de la ejecución de la Sentencia. En particular, sostiene que atendiendo a la duración de las penas impuestas - privativa de libertad y accesoria legal-, si se accediera a la solicitud se ocasionaría una lesión o menoscabo del interés general presente en la ejecución de la Sentencia firme. </w:t>
      </w:r>
    </w:p>
    <w:p w:rsidRPr="00C21FFE" w:rsidR="00AD51A7" w:rsidRDefault="00AD51A7">
      <w:pPr>
        <w:rPr/>
      </w:pPr>
      <w:r w:rsidRPr="&lt;w:rPr xmlns:w=&quot;http://schemas.openxmlformats.org/wordprocessingml/2006/main&quot;&gt;&lt;w:lang w:val=&quot;es-ES_tradnl&quot; /&gt;&lt;/w:rPr&gt;">
        <w:rPr/>
        <w:t xml:space="preserve">Madrid, a veintidós de abril de dos mil 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 En el presente caso, el recurrente solicita que se suspenda la ejecución de la Sentencia, en virtud de la cual, y como consta en los antecedentes, resultó condenado a una pena privativa de libertad de reclusión menor de diecisiete años, cuatro meses y un día, a la accesoria legal de inhabilitación absoluta por el tiempo de la condena y al pago de una multa de doscientos veinticinco millones de pesetas.  A pesar de dicha genérica petición, el demandante sólo fundamenta su petición en lo que se refiere a la pena privativa de libertad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por lo que no se suspenderán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aquél que provoque un restablecimiento del recurrente en el derecho constitucional vulnerado que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privativas o limitativas de ciertos derechos.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y 114/2000).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denegarse la suspensión solicitada.  Dada la larga duración de la pena privativa de libertad impuesta (diecisiete años, cuatro meses y un día de reclusión menor) no procede suspender su ejecución.  Como ya se ha afirmado, aunque la regla general de este Tribunal en el caso de penas privativas de libertad debe ser la suspensión, ya que su cumplimiento conlleva en sí mismo una pérdida, al menos parcial, de la finalidad del amparo, también se ha indicado que esta regla general no está exenta de excepciones, y una de ellas es, precisamente, la duración de la pena, ya que en el supuesto de que la pena sea de larga duración "el interés general reclama con especial intensidad su ejecución" (ATC 214/1997). Tal conclusión se impone, no sólo por el necesario mantenimiento de la confianza en la justicia penal y en los efectos disuasorios que se derivan de la finalidad de prevención general de los delitos (AATC 310/1996, 419/1997 y 265/1998), sino también porque la duración de la pena cuantifica "el desvalor del comportamiento enjuiciado y el daño social producido, según la apreciación del Tribunal sentenciador, que nosotros no podemos revisar en este trámite" (AATC 265/1998, 62/2001 y 289/2001).</w:t>
      </w:r>
    </w:p>
    <w:p w:rsidRPr="00C21FFE" w:rsidR="00AD51A7" w:rsidRDefault="00AD51A7">
      <w:pPr>
        <w:rPr/>
      </w:pPr>
      <w:r w:rsidRPr="&lt;w:rPr xmlns:w=&quot;http://schemas.openxmlformats.org/wordprocessingml/2006/main&quot;&gt;&lt;w:lang w:val=&quot;es-ES_tradnl&quot; /&gt;&lt;/w:rPr&gt;">
        <w:rPr/>
        <w:t xml:space="preserve">El mismo pronunciamiento ha de efectuarse respecto de la pena accesoria de inhabilitación absoluta, pues, como este Tribunal tiene declarado, sigue la suerte de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pena de multa impuesta, de doscientos veinticinco millones de pesetas, a pesar de que según reiterada doctrina de este Tribunal los pronunciamientos de carácter económico no se suspenden en el entendimiento de que su no suspensión no ocasiona en principio un daño irreparable, sin embargo, dada su cuantía, excepcionalmente este Tribunal ha accedido a la suspensión, si bien ello se ha producido siempre que el perjuicio sea irreparable y se encuentre convenientemente acreditado (por todos AATC 418/1985, 61/2000, 9/2002). En la medida en que nada se fundamenta ni se acredita por el demandante de amparo sobre los eventuales perjuicios que la ejecución de la pena de multa le pudiera irrogar, se ha de denegar también la suspensión en lo que afecta a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solicitud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