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3358-2002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de privación de libertad impuesta al recurrente en la Sentencia dictada por la Sección Séptima de la Audiencia Provincial de Alicante de 30 de abril de 2002, junto a la accesoria de inhabilitación para el derecho de</w:t>
            </w:r>
          </w:p>
          <w:p w:rsidRPr="00D13423" w:rsidR="00AD51A7" w:rsidRDefault="00AD51A7">
            <w:pPr>
              <w:rPr/>
            </w:pPr>
            <w:r w:rsidRPr="&lt;w:rPr xmlns:w=&quot;http://schemas.openxmlformats.org/wordprocessingml/2006/main&quot;&gt;&lt;w:color w:val=&quot;800080&quot; /&gt;&lt;w:szCs w:val=&quot;24&quot; /&gt;&lt;/w:rPr&gt;">
              <w:rPr/>
              <w:t xml:space="preserve">sufragio pasivo.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lo que respecta a los demás pronunciamientos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mayo de 2002, la Procuradora de los Tribunales doña María Marta Sanz Amaro, en nombre y representación de don José Sánchez Caparrós, interpone recurso de amparo contra la Sentencia dictada por la Sección Séptima de la Audiencia Provincial de Alicante, con sede en la ciudad de Elche, el 30 de abril de 2002, que revocó en apelación la dictada por el Juzgado de lo Penal núm. 2 de Elche el 19 de febrero de 2002, en causa seguida por delito de robo con intimidación.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25 de julio de 2003, la Sección Primera acordó, respectivamente, admitir la demanda de amparo y la apertura de pieza separada para la tramitación del incidente sobre suspensión de la ejecución, concediendo al demandante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parte, mediante escrito registrado el 31 de julio de 2003, formula sus alegaciones, iterando la solicitud de suspensión de la ejecución de la condena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1 de septiembre de 2003. En dicho escrito, de conformidad con la doctrina constitucional aplicable, interesó la suspensión de la pena privativa de libertad y accesoria, oponiéndose a la suspensión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arreglo a lo dispuesto en el art. 56.1 LOTC la Sala que conozca de un recurso de amparo suspenderá la ejecución del acto de los poderes públicos por razón del cual se ha interpuesto cuando, de llevarse a cabo la ejecución, se "hubiere de causar un perjuicio que haría perder al amparo su finalidad", aunque habría de denegarse la suspensión si de ella pudiera seguirse "perturbación grave de los intereses generales o de los derechos fundamentales o libertades públicas de un tercero". De ello deriva, como regla general, que la admisión del recurso no conlleva la suspensión de la ejecución de los actos recurridos, pues han de ponderarse, por un lado, el perjuicio que derivaría de la ejecución y, por otro, la perturbación que podría general la suspensión.</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el carácter irreparable del perjuicio que daría lugar a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219/1996, 419/1997, 274/1998, 117/1999, 227/1999, 292/2000, 41/2001, 155/2002 y 7/2003).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base de esta doctrina general este Tribunal tiene declarado que a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por regla general, la misma suerte que la pena principal a la que acompañan (entre otros muchos, AATC 144/1984, 267/1995, 7/1996, 152/1996, 87/1997, 286/1997, 182/1998, 271/1998, 114/2000, 286/2000, 63/2001 y 26/2003).</w:t>
      </w:r>
    </w:p>
    <w:p w:rsidRPr="00C21FFE" w:rsidR="00AD51A7" w:rsidRDefault="00AD51A7">
      <w:pPr>
        <w:rPr/>
      </w:pPr>
      <w:r w:rsidRPr="&lt;w:rPr xmlns:w=&quot;http://schemas.openxmlformats.org/wordprocessingml/2006/main&quot;&gt;&lt;w:lang w:val=&quot;es-ES_tradnl&quot; /&gt;&lt;/w:rPr&gt;">
        <w:rPr/>
        <w:t xml:space="preserve">Y también venimos declarando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(AATC 573/1985, 574/1985, 275/1990 y 106/2002, por todos). Esta doctrina resulta igualmente aplicable a la condena en costas procesales, pues, al entrañar un pago en dinero, su ejecución no provoca ningún perjuicio que pueda hacer inútil el recurso de amparo (AATC 244/1991, 267/1995, 44/2001 y 86/2003, entr3. En la resolución objeto del presente recurso el demandante de amparo fue condenado, como autor responsable de un delito de robo con intimidación, a la pena de tres años y seis meses de prisión, con la accesoria de inhabilitación especial para el derecho de sufragio pasivo durante el tiempo que dure la condena, debiendo indemnizar conjunta y solidariamente con otro en 282'47 € a los perjudicados.</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lugar, la suspensión de la ejecución de la pena privativa de libertad. Su aplicación al caso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106/2002, 164/2002 y 8/2003, entre los últimos). Igualmente procede la suspensión de la pena accesoria del derecho de sufragio pasivo durante el tiempo de la condena pues, conforme a nuestra jurisprudencia, las penas accesorias han de seguir en principio la misma suerte que la principal (AATC 248/2001, 305/2001, 22/2002, 106/2002, 273/2002 y 8/2003), dado que, de no acordar la suspensión, resultaría evidente la parcial pérdida de la finalidad del amparo que inevitablemente conlleva el cumplimiento de la pena mientras dura la tramitación del presente proceso (AATC 88/1981, 486/1983, 476/1984, 53/1992, 196/1995, 214/1995, 312/1995, 121/1996, 226/1996, 228/1996, 310/1996, 394/1996, 47/1998, 48/1998 y 208/1998).</w:t>
      </w:r>
    </w:p>
    <w:p w:rsidRPr="00C21FFE" w:rsidR="00AD51A7" w:rsidRDefault="00AD51A7">
      <w:pPr>
        <w:rPr/>
      </w:pPr>
      <w:r w:rsidRPr="&lt;w:rPr xmlns:w=&quot;http://schemas.openxmlformats.org/wordprocessingml/2006/main&quot;&gt;&lt;w:lang w:val=&quot;es-ES_tradnl&quot; /&gt;&lt;/w:rPr&gt;">
        <w:rPr/>
        <w:t xml:space="preserve">En segundo lugar, no procede la suspensión de la Sentencia en lo atinente a los pronunciamientos sobre indemnización,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no se ha acreditado la irreparabilidad del perjuicio derivado de la ejecución por la concurrencia de circunstancias especiales. El recurrente no aporta prueba alguna sobre dificultades económicas para hacer frente al pago de la cantidad en cuestión y, como reiteradamente hemos sostenido, la acreditación del menoscabo es carga del recurrente, quien debe además probar, o al menos justificar ofreciendo un principio razonable de prueba, la irreparabilidad del perjuicio (por todos, AATC 253/1995, 72/1997, 93/2002, 164/2002, 7/2003 y 26/2003).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pena de privación de libertad impuesta al recurrente en la Sentencia dictada por la Sección Séptima de la Audiencia Provincial de Alicante de 30 de abril de 2002, junto a la accesoria de inhabilitación para el derecho de</w:t>
      </w:r>
    </w:p>
    <w:p w:rsidRPr="" w:rsidR="00AD51A7" w:rsidRDefault="00AD51A7">
      <w:pPr>
        <w:rPr/>
      </w:pPr>
      <w:r w:rsidRPr="&lt;w:rPr xmlns:w=&quot;http://schemas.openxmlformats.org/wordprocessingml/2006/main&quot;&gt;&lt;w:szCs w:val=&quot;24&quot; /&gt;&lt;/w:rPr&gt;">
        <w:rPr/>
        <w:t xml:space="preserve">sufragio pasivo.</w:t>
      </w:r>
    </w:p>
    <w:p w:rsidRPr="" w:rsidR="00AD51A7" w:rsidRDefault="00AD51A7">
      <w:pPr>
        <w:rPr/>
      </w:pPr>
      <w:r w:rsidRPr="&lt;w:rPr xmlns:w=&quot;http://schemas.openxmlformats.org/wordprocessingml/2006/main&quot;&gt;&lt;w:szCs w:val=&quot;24&quot; /&gt;&lt;/w:rPr&gt;">
        <w:rPr/>
        <w:t xml:space="preserve">2º. Denegar la suspensión de la ejecución en lo que respecta a los demás pronunciamientos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