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del Juzgado de lo Penal número 3 de Almería de 6 de junio de 2000, recaída en el juicio oral 86-2000, exclusivamente en lo que se refiere a la pena de tres años y seis meses de prisión; así como de los Autos de</w:t>
            </w:r>
          </w:p>
          <w:p w:rsidRPr="00D13423" w:rsidR="00AD51A7" w:rsidRDefault="00AD51A7">
            <w:pPr>
              <w:rPr/>
            </w:pPr>
            <w:r w:rsidRPr="&lt;w:rPr xmlns:w=&quot;http://schemas.openxmlformats.org/wordprocessingml/2006/main&quot;&gt;&lt;w:color w:val=&quot;800080&quot; /&gt;&lt;w:szCs w:val=&quot;24&quot; /&gt;&lt;/w:rPr&gt;">
              <w:rPr/>
              <w:t xml:space="preserve">dicho Juzgado de 23 de mayo y 30 de junio de 2003, y del dictado por la Audiencia Provincial de Almería el 19 de agosto de 2003, desestimatorio de la queja, resoluciones por las que se acordó el ingreso en prisión del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23 de septiembre de 2003, don Carlos Mairata Laviña, Procurador de los Tribunales y de don Sebastián López González, interpuso recurso de amparo constitucional contra las resoluciones judiciales reseñadas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En Sentencia de 6 de junio de 2000 el Juzgado de lo Penal núm. 3 de Almería condenó al demandante por un delito de robo con intimidación, concurriendo la agravante de reincidencia y las atenuantes analógicas de reparación del daño y de "dependencia a la heroína y cocaína desde antiguo", a la pena de tres años y seis meses de prisión. En el propio fallo se añadía que "no obstante lo anterior, se impone también a dicho penado medida o medidas de seguridad a concretar en trámite de ejecución de sentencia para alcanzar su desintoxicación definitiva por tiempo no superior a tres años y seis meses de duración, de ejecución preferente y anterior a la pena privativa de libertad, y con el resultado de ésta se acordará en su día lo que fuere procedente". b) Firme el referido fallo, mediante providencia de 3 de septiembre de 2001 la Juez de lo Penal concretó la medida de seguridad impuesta, ordenando el sometimiento a tratamiento externo en centro médico durante el tiempo de la condena. c) Contra dicha resolución interpuso el Ministerio Fiscal recurso de reforma, y desestimado éste, queja, que fue estimada por la Sección Primera de la Audiencia Provincial de Almería mediante Auto de 6 de junio de 2002, dejando sin efecto la providencia recurrida por considerar que sólo pueden aplicarse las medidas incluidas en los arts. 96 a 105 del Código penal en los supuestos en que se aprecien determinadas eximentes completas o incompletas, y no en caso de meras atenuantes. d) El 23 de mayo de 2003 la Juez de lo Penal dictó Auto ordenando el ingreso en prisión del condenado, contra el que interpuso éste recurso de reforma, que fue desestimado por Auto de 30 de junio, y de queja, igualmente desestimado mediante Auto de 19 de agosto de 2003 por la Sección Tercera de la misma Audiencia Provincial, por considerar la cuestión ya resuelta por el reseñado Auto de 6 de junio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el recurrente interesa la anulación de los referidos Autos de 23 de mayo y 19 de agosto de 2003 entendiendo que vulneran su derecho fundamental a la tutela judicial efectiva (art. 24.1 CE) en relación con la seguridad jurídica (art. 9.3 CE) y el principio de orientación resocializadora de las penas privativas de libertad (art. 25.2 CE), al haber impedido en fase de ejecución la aplicación de la medida de seguridad acordada en el fallo de la sentencia firme, mediante pronunciamientos judiciales contradictorios con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otrosí el actor solicitó, de acuerdo con lo dispuesto en el art. 56 LOTC, la suspensión del procedimiento judicial, pues de lo contrario se le ocasionaría un grave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acordó, mediante providencia de 10 de febrero de 2004, la admisión a trámite de la demanda de amparo y asimismo, a tenor de lo dispuesto en el art. 51 LOTC, ordenó que se requiriese atentamente a la Sección Tercera de la Audiencia Provincial de Almería y al Juzgado de lo Penal núm. 3 de dicha capital para que en el plazo de diez días remitieran respectivamente testimonio del rollo de apelación núm. 141-2003 y del juicio oral núm. 86-2000 (hoy ejecutoria núm. 342-2000) y se emplazara a quienes habían sido parte en el mencionado procedimiento, con excepción del recurrente de amparo, que aparece ya personado, para que en el plazo de diez días pudieran comparecer en el presente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nuevo proveído de la misma fecha la mencionada Sección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Sr. Mairata Laviña formuló escrito de alegaciones el 20 de febrero de 2004, remitiéndose a lo ya solicitado en el escrito de interposición del recurso de amparo, y añadiendo que el demandante trabaja en la actualidad y no ha vuelto a cometer ningún delito, circunstancias éstas acreditadas tanto en la causa que dio origen a esta demanda como en la propia ejecutoria.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19 de febrero de 2004. En él se hace referencia al criterio general de improcedencia de la suspensión de la ejecución de aquellos fallos judiciales que admiten la restitución íntegra de lo ejecutado, como sucede en por lo general en las condenas de efectos meramente patrimoniales, mientras que por el contrario procede acordar la suspensión de aquellos otros fallos en los que resultan afectados bienes o derechos del recurrente de imposible o muy difícil restitución a su estado anterior, como ocurre, en principio, en el supuesto de las condenas privativas de libertad o que producen la privación o limitación de ciertos derechos. Observaba el Ministerio Fiscal que sin embargo ese criterio no es absoluto, pues la doctrina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resta de cumplimiento de la misma, el riesgo de eludir la acción de la Justicia y la posible desprotección de las víctimas, advirtiendo que entre tales circunstancias adquiere especial significación la gravedad de la pena impuesta, porque este criterio encierra la expresión de la reprobación que el ordenamiento asigna al hecho delictivo, y por consiguiente la magnitud del interés en su ejecución. La aplicación de esta doctrina al presente caso -concluye el Ministerio público- obliga a considerar, si se compara la duración de la pena privativa con el tiempo que requiere la tramitación de un proceso como el presente, que no suspender su ejecución ocasionaría un perjuicio irreparable que dejaría totalmente en entredicho la eficacia de un eventual fallo estimatorio, no apreciándose por otro lado, atendidas las demás circunstancias concurrentes, que acceder a la suspensión solicitada ocasione una lesión específica y grave del interés general, más allá de aquélla que de por sí produce la no ejecución de un fallo judicial. Por todo ello estima el Ministerio Fiscal procedente que se acuerde la suspensión de la ejecución de la Sentencia en lo que afecta al ingreso en prisión para el cumplimiento de la pena privativa de libertad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 doctrina, este Tribunal ha establecido, tal y como recuerda el Ministerio Fiscal,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que, precisamente, podría determinar, de asumir esta Sala la pretensión del recurrente, la improcedencia de ejecutar tal pena. Por otro lado, atendidas las demás circunstancias concurrentes en el caso, no se aprecia que acceder a la suspensión solicitada vaya a ocasionar una lesión específica y grave del interés general, más allá de aquella que de por sí produce, como se ha expuesto, la no ejecución de un fallo judicial. Ha lugar por tanto a la suspensión de la ejecución de la pena privativa de libertad, sin que a ello se oponga, por otra parte, el que la resolución en que la dicha pena se impuso, esto es, la Sentencia condenatoria dictada por el Juzgado de lo Penal no constituya directamente objeto del recurso de amparo, dado que en la medida en que sus efectos se ven necesariamente comprometidos por la eventual estimación de dicho recurso, la suspensión acordada ha de extenderse a ellos inevitablemente, tal y como ya hemos admitido en ocasiones anteriores (entre otros, ATC 313/1999, de 15 de diciembre).</w:t>
      </w:r>
    </w:p>
    <w:p w:rsidRPr="00C21FFE" w:rsidR="00AD51A7" w:rsidRDefault="00AD51A7">
      <w:pPr>
        <w:rPr/>
      </w:pPr>
      <w:r w:rsidRPr="&lt;w:rPr xmlns:w=&quot;http://schemas.openxmlformats.org/wordprocessingml/2006/main&quot;&gt;&lt;w:lang w:val=&quot;es-ES_tradnl&quot; /&gt;&lt;/w:rPr&gt;">
        <w:rPr/>
        <w:t xml:space="preserve">Por el contrario, no procede, aunque el demandante inste genéricamente la suspensión del procedimiento judicial, extender dicha medida cautelar a los pronunciamientos de carácter patrimonial que derivan del fallo condenatorio (costas e indemnización, si bien ésta ya consta consignada en la propia Sentencia), los cuales por otra parte no se cuestionan ni en la fundamentación de la demanda de amparo ni en las concretas resoluciones judiciales dictadas en ejecución del fallo contra las que se dirige, pues al tratarse de efectos de contenido económico, los perjuicios anejos a su ejecución son perfectamente reparables, en caso de otorgarse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del Juzgado de lo Penal número 3 de Almería de 6 de junio de 2000, recaída en el juicio oral 86-2000, exclusivamente en lo que se refiere a la pena de tres años y seis meses de prisión; así como de los Autos de</w:t>
      </w:r>
    </w:p>
    <w:p w:rsidRPr="" w:rsidR="00AD51A7" w:rsidRDefault="00AD51A7">
      <w:pPr>
        <w:rPr/>
      </w:pPr>
      <w:r w:rsidRPr="&lt;w:rPr xmlns:w=&quot;http://schemas.openxmlformats.org/wordprocessingml/2006/main&quot;&gt;&lt;w:szCs w:val=&quot;24&quot; /&gt;&lt;/w:rPr&gt;">
        <w:rPr/>
        <w:t xml:space="preserve">dicho Juzgado de 23 de mayo y 30 de junio de 2003, y del dictado por la Audiencia Provincial de Almería el 19 de agosto de 2003, desestimatorio de la queja, resoluciones por las que se acordó el ingreso en prisión del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