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908-2004, 909-2004, 917-2004, 918-2004, 930-2004, 933-2004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Acumular los recursos de inconstitucionalidad núms. 909-2004, 917-2004, 918-2004, 930-2004 y 933-2004 al recurso núm. 908-2004.</w:t>
            </w:r>
          </w:p>
          <w:p w:rsidRPr="00D13423" w:rsidR="00AD51A7" w:rsidRDefault="00AD51A7">
            <w:pPr>
              <w:rPr/>
            </w:pPr>
            <w:r w:rsidRPr="&lt;w:rPr xmlns:w=&quot;http://schemas.openxmlformats.org/wordprocessingml/2006/main&quot;&gt;&lt;w:color w:val=&quot;800080&quot; /&gt;&lt;w:szCs w:val=&quot;24&quot; /&gt;&lt;/w:rPr&gt;">
              <w:rPr/>
              <w:t xml:space="preserve">2º Conforme tiene interesado el Abogado del Estado concederle un nuevo plazo de quince días para que formule las alegaciones que estime convenientes.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17 de febrero de 2004 el Letrado de la Junta de Extremadura, en la representación que legalmente ostenta, promueve recurso de inconstitucionalidad contra los arts. 4.1 y 2; 7.1; 10.1; 11.2; 16.3; 44 y otros por conexión; 53.1 y 2; 57.4 y 81.1.g) y m) de la Ley 39/2003, de 17 de noviembre, del sector ferroviario.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9 de marzo de 2004, se acordó admitir a trámite el recurso de inconstitucionalidad y dar traslado de los documentos presentados, conforme prevé el art. 84 LOTC, al Congreso de los Diputados, al Senado y al Gobierno para que, en el plazo de quince días, pudieran personarse en el proceso y formular alegaciones. También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citada Ley 39/2003 ha sido también recurrida de inconstitucionalidad por parte del Parlamento de Cataluña [arts. 2 a); 4.1, 2 y 3; 11.1 y 2; 16.3; 28; 44.1 y 2; 49; 50; 51; 53.2; 54.2; 57.4; 81.1 b), f) g) y m), y disposición adicional 9]; del Gobierno de la Generalidad de Cataluña [arts. 2 a); 4.1, 2 y 3; 11.1, 2 y 3; 28; 44.2; 71.1 b); disposición adicional 9; disposición final 2 y arts. 44.1; 49; 50; 51; 53.2 y 4; 57.4 y 81.1 f) y g)]; del Gobierno del Principado de Asturias [arts. 2 a); 4.1, 2 y 3; 5.1; 11.1 y 2; 16.3; 44.1 y 2; 49; 50.1; 51.2; 53.1 y 2; 57.4; disposición adicional 9 y disposición transitoria 5]; del Gobierno de Aragón [arts. 4.1, 2 y 3; 9.1; 11; 16.3; 44.1 y 2; 49; 50; 51; 53; 57.4 y 81.1 m)]; y del Gobierno de la Junta de Comunidades de Castilla-La Mancha [arts. 4; 11; 15.5; 16; 33; 34; 37.4; 44; 46.5; 47.2; 49; 50; 51; 53; 54; 57; 58; 59.1; 60.2; 81.1 f), g) y m); 83 d) y disposición adicional 9]. </w:t>
      </w:r>
    </w:p>
    <w:p w:rsidRPr="00C21FFE" w:rsidR="00AD51A7" w:rsidRDefault="00AD51A7">
      <w:pPr>
        <w:rPr/>
      </w:pPr>
      <w:r w:rsidRPr="&lt;w:rPr xmlns:w=&quot;http://schemas.openxmlformats.org/wordprocessingml/2006/main&quot;&gt;&lt;w:lang w:val=&quot;es-ES_tradnl&quot; /&gt;&lt;/w:rPr&gt;">
        <w:rPr/>
        <w:t xml:space="preserve">Estos recursos de inconstitucionalidad fueron admitidos a trámite por las correspondientes providencias, todas ellas de la misma fecha 9 de marzo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marzo de 2004, el Abogado del Estado, en la representación que ostenta, dentro del plazo conferido, se ha personado en todos los procedimientos y ha solicitado que este Tribunal acumule todos los recursos de inconstitucionalidad promovidos contra la Ley 39/2003 (registrados con los núm. 908-2004, 909-2004, 917-2004, 918-2004, 930-2004 y 933-2004), en consideración a que en dichos recursos se dan las condiciones de conexión que justifican la unidad de tratamiento y decisión que se contemplan en el art. 83 LOTC para que proceda la aludida acumulación, así como que, en caso de que se acuerde ésta, se le de traslado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abril de 2004 se acordó oír a los promotores de los recursos de inconstitucionalidad antes relacionados para que, en el plazo de diez días, expongan lo que estimen conveniente sobre la acumulación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representaciones procesales de la Junta de Extremadura, Gobierno de la Generalidad de Cataluña, Parlamento de Cataluña y Junta de Castilla-La Mancha, mediante los correspondientes escritos, registrados con fecha 27 de abril, 30 de abril, 6 de mayo y 7 de mayo de 2004, consideran procedente o no se oponen a la acumulación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palabras del legislador,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concurren las circunstancias previstas en el art. 83 LOTC, habida cuenta de la identidad sustancial de objeto que, en buena medida, presentan los recursos de inconstitucionalidad planteados contra la Ley 39/2003,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Acumular los recursos de inconstitucionalidad núms. 909-2004, 917-2004, 918-2004, 930-2004 y 933-2004 al recurso núm. 908-2004.</w:t>
      </w:r>
    </w:p>
    <w:p w:rsidRPr="" w:rsidR="00AD51A7" w:rsidRDefault="00AD51A7">
      <w:pPr>
        <w:rPr/>
      </w:pPr>
      <w:r w:rsidRPr="&lt;w:rPr xmlns:w=&quot;http://schemas.openxmlformats.org/wordprocessingml/2006/main&quot;&gt;&lt;w:szCs w:val=&quot;24&quot; /&gt;&lt;/w:rPr&gt;">
        <w:rPr/>
        <w:t xml:space="preserve">2º Conforme tiene interesado el Abogado del Estado concederle un nuevo plazo de quince días para que formule las alegaciones que estime convenientes.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